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i w:val="false"/>
          <w:iCs w:val="false"/>
          <w:color w:val="1E40AF"/>
          <w:sz w:val="52"/>
          <w:szCs w:val="52"/>
        </w:rPr>
        <w:t xml:space="preserve">ArchiCheck</w:t>
      </w:r>
    </w:p>
    <w:p>
      <w:pPr>
        <w:spacing w:after="60" w:before="0"/>
      </w:pPr>
      <w:r>
        <w:rPr>
          <w:rFonts w:ascii="Calibri" w:cs="Calibri" w:eastAsia="Calibri" w:hAnsi="Calibri"/>
          <w:b w:val="false"/>
          <w:bCs w:val="false"/>
          <w:i w:val="false"/>
          <w:iCs w:val="false"/>
          <w:color w:val="6B7280"/>
          <w:sz w:val="28"/>
          <w:szCs w:val="28"/>
        </w:rPr>
        <w:t xml:space="preserve">Plan de trabajo · Startup Chile Ignite</w:t>
      </w:r>
    </w:p>
    <w:p>
      <w:pPr>
        <w:spacing w:after="160" w:before="0"/>
      </w:pPr>
      <w:r>
        <w:rPr>
          <w:rFonts w:ascii="Calibri" w:cs="Calibri" w:eastAsia="Calibri" w:hAnsi="Calibri"/>
          <w:b w:val="false"/>
          <w:bCs w:val="false"/>
          <w:i/>
          <w:iCs/>
          <w:color w:val="6B7280"/>
          <w:sz w:val="22"/>
          <w:szCs w:val="22"/>
        </w:rPr>
        <w:t xml:space="preserve">4 meses · CLP $30 millones · Agosto–Diciembre 2026</w:t>
      </w:r>
    </w:p>
    <w:p>
      <w:pPr>
        <w:spacing w:after="40" w:before="40"/>
      </w:pPr>
      <w:r>
        <w:rPr>
          <w:rFonts w:ascii="Calibri" w:cs="Calibri" w:eastAsia="Calibri" w:hAnsi="Calibri"/>
          <w:b w:val="false"/>
          <w:bCs w:val="false"/>
          <w:i w:val="false"/>
          <w:iCs w:val="false"/>
          <w:color w:val="6B7280"/>
          <w:sz w:val="16"/>
          <w:szCs w:val="16"/>
        </w:rPr>
        <w:t xml:space="preserve">──────────────────────────────────────────────────────────────────────</w:t>
      </w:r>
    </w:p>
    <w:p>
      <w:pPr>
        <w:spacing w:after="80" w:before="0"/>
      </w:pPr>
      <w:r>
        <w:rPr>
          <w:rFonts w:ascii="Calibri" w:cs="Calibri" w:eastAsia="Calibri" w:hAnsi="Calibri"/>
          <w:b w:val="false"/>
          <w:bCs w:val="false"/>
          <w:i w:val="false"/>
          <w:iCs w:val="false"/>
          <w:color w:val="1A1A1A"/>
          <w:sz w:val="22"/>
          <w:szCs w:val="22"/>
        </w:rPr>
        <w:t xml:space="preserve">El programa Ignite entrega financiamiento equity-free, mentorías especializadas, conexión con corporativos e inversionistas, y actividades de aceleración intensiva. Este plan estructura el trabajo en 5 tareas principales que absorben esas actividades del programa — mentores, redes y plan de negocios no son actividades aparte, sino componentes explícitos dentro de cada tarea.</w:t>
      </w:r>
    </w:p>
    <w:p>
      <w:pPr>
        <w:spacing w:after="160" w:before="0"/>
      </w:pPr>
      <w:r>
        <w:rPr>
          <w:rFonts w:ascii="Calibri" w:cs="Calibri" w:eastAsia="Calibri" w:hAnsi="Calibri"/>
          <w:b w:val="false"/>
          <w:bCs w:val="false"/>
          <w:i w:val="false"/>
          <w:iCs w:val="false"/>
          <w:color w:val="1A1A1A"/>
          <w:sz w:val="22"/>
          <w:szCs w:val="22"/>
        </w:rPr>
        <w:t xml:space="preserve"/>
      </w:r>
    </w:p>
    <w:p>
      <w:pPr>
        <w:spacing w:after="80" w:before="280"/>
      </w:pPr>
      <w:r>
        <w:rPr>
          <w:rFonts w:ascii="Calibri" w:cs="Calibri" w:eastAsia="Calibri" w:hAnsi="Calibri"/>
          <w:b/>
          <w:bCs/>
          <w:i w:val="false"/>
          <w:iCs w:val="false"/>
          <w:color w:val="1E40AF"/>
          <w:sz w:val="32"/>
          <w:szCs w:val="32"/>
        </w:rPr>
        <w:t xml:space="preserve">Estructura y dependencias</w:t>
      </w:r>
    </w:p>
    <w:p>
      <w:pPr>
        <w:spacing w:after="80" w:before="0"/>
      </w:pPr>
      <w:r>
        <w:rPr>
          <w:rFonts w:ascii="Calibri" w:cs="Calibri" w:eastAsia="Calibri" w:hAnsi="Calibri"/>
          <w:b w:val="false"/>
          <w:bCs w:val="false"/>
          <w:i w:val="false"/>
          <w:iCs w:val="false"/>
          <w:color w:val="1A1A1A"/>
          <w:sz w:val="22"/>
          <w:szCs w:val="22"/>
        </w:rPr>
        <w:t xml:space="preserve">T1 y T2 arrancan el día 1 en paralelo. T3 depende de precisión suficiente en T1 + señales de T2. T4 puede arrancar con el demo actual antes de que T1 esté completa. T5 consolida las cuatro anteriores. Las actividades de mentores y redes corren transversal a todo el programa — no son eventos puntuales.</w:t>
      </w:r>
    </w:p>
    <w:p>
      <w:pPr>
        <w:spacing w:after="80" w:before="0"/>
      </w:pPr>
      <w:r>
        <w:rPr>
          <w:rFonts w:ascii="Calibri" w:cs="Calibri" w:eastAsia="Calibri" w:hAnsi="Calibri"/>
          <w:b w:val="false"/>
          <w:bCs w:val="false"/>
          <w:i w:val="false"/>
          <w:iCs w:val="false"/>
          <w:color w:val="1A1A1A"/>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DBEAFE" w:color="auto" w:val="clear"/>
          </w:tcPr>
          <w:p>
            <w:pPr>
              <w:spacing w:after="40" w:before="40"/>
            </w:pPr>
            <w:r>
              <w:rPr>
                <w:rFonts w:ascii="Calibri" w:cs="Calibri" w:eastAsia="Calibri" w:hAnsi="Calibri"/>
                <w:b/>
                <w:bCs/>
                <w:i w:val="false"/>
                <w:iCs w:val="false"/>
                <w:color w:val="1E40AF"/>
                <w:sz w:val="18"/>
                <w:szCs w:val="18"/>
              </w:rPr>
              <w:t xml:space="preserve">Tarea</w:t>
            </w:r>
          </w:p>
        </w:tc>
        <w:tc>
          <w:tcPr>
            <w:tcW w:type="dxa" w:w="1100"/>
            <w:shd w:fill="DBEAFE" w:color="auto" w:val="clear"/>
          </w:tcPr>
          <w:p>
            <w:pPr>
              <w:spacing w:after="40" w:before="40"/>
            </w:pPr>
            <w:r>
              <w:rPr>
                <w:rFonts w:ascii="Calibri" w:cs="Calibri" w:eastAsia="Calibri" w:hAnsi="Calibri"/>
                <w:b/>
                <w:bCs/>
                <w:i w:val="false"/>
                <w:iCs w:val="false"/>
                <w:color w:val="1E40AF"/>
                <w:sz w:val="18"/>
                <w:szCs w:val="18"/>
              </w:rPr>
              <w:t xml:space="preserve">Meses</w:t>
            </w:r>
          </w:p>
        </w:tc>
        <w:tc>
          <w:tcPr>
            <w:tcW w:type="dxa" w:w="1600"/>
            <w:shd w:fill="DBEAFE" w:color="auto" w:val="clear"/>
          </w:tcPr>
          <w:p>
            <w:pPr>
              <w:spacing w:after="40" w:before="40"/>
            </w:pPr>
            <w:r>
              <w:rPr>
                <w:rFonts w:ascii="Calibri" w:cs="Calibri" w:eastAsia="Calibri" w:hAnsi="Calibri"/>
                <w:b/>
                <w:bCs/>
                <w:i w:val="false"/>
                <w:iCs w:val="false"/>
                <w:color w:val="1E40AF"/>
                <w:sz w:val="18"/>
                <w:szCs w:val="18"/>
              </w:rPr>
              <w:t xml:space="preserve">Paralela con</w:t>
            </w:r>
          </w:p>
        </w:tc>
        <w:tc>
          <w:tcPr>
            <w:tcW w:type="dxa" w:w="1500"/>
            <w:shd w:fill="DBEAFE" w:color="auto" w:val="clear"/>
          </w:tcPr>
          <w:p>
            <w:pPr>
              <w:spacing w:after="40" w:before="40"/>
            </w:pPr>
            <w:r>
              <w:rPr>
                <w:rFonts w:ascii="Calibri" w:cs="Calibri" w:eastAsia="Calibri" w:hAnsi="Calibri"/>
                <w:b/>
                <w:bCs/>
                <w:i w:val="false"/>
                <w:iCs w:val="false"/>
                <w:color w:val="1E40AF"/>
                <w:sz w:val="18"/>
                <w:szCs w:val="18"/>
              </w:rPr>
              <w:t xml:space="preserve">Depende de</w:t>
            </w:r>
          </w:p>
        </w:tc>
        <w:tc>
          <w:tcPr>
            <w:tcW w:type="dxa" w:w="3000"/>
            <w:shd w:fill="DBEAFE" w:color="auto" w:val="clear"/>
          </w:tcPr>
          <w:p>
            <w:pPr>
              <w:spacing w:after="40" w:before="40"/>
            </w:pPr>
            <w:r>
              <w:rPr>
                <w:rFonts w:ascii="Calibri" w:cs="Calibri" w:eastAsia="Calibri" w:hAnsi="Calibri"/>
                <w:b/>
                <w:bCs/>
                <w:i w:val="false"/>
                <w:iCs w:val="false"/>
                <w:color w:val="1E40AF"/>
                <w:sz w:val="18"/>
                <w:szCs w:val="18"/>
              </w:rPr>
              <w:t xml:space="preserve">Objetivo clave</w:t>
            </w:r>
          </w:p>
        </w:tc>
      </w:tr>
      <w:tr>
        <w:tc>
          <w:tcPr>
            <w:tcW w:type="dxa" w:w="1800"/>
          </w:tcPr>
          <w:p>
            <w:pPr>
              <w:spacing w:after="40" w:before="40"/>
            </w:pPr>
            <w:r>
              <w:rPr>
                <w:rFonts w:ascii="Calibri" w:cs="Calibri" w:eastAsia="Calibri" w:hAnsi="Calibri"/>
                <w:b w:val="false"/>
                <w:bCs w:val="false"/>
                <w:i w:val="false"/>
                <w:iCs w:val="false"/>
                <w:color w:val="1A1A1A"/>
                <w:sz w:val="18"/>
                <w:szCs w:val="18"/>
              </w:rPr>
              <w:t xml:space="preserve">T1 · Extracción</w:t>
            </w:r>
          </w:p>
        </w:tc>
        <w:tc>
          <w:tcPr>
            <w:tcW w:type="dxa" w:w="1100"/>
          </w:tcPr>
          <w:p>
            <w:pPr>
              <w:spacing w:after="40" w:before="40"/>
            </w:pPr>
            <w:r>
              <w:rPr>
                <w:rFonts w:ascii="Calibri" w:cs="Calibri" w:eastAsia="Calibri" w:hAnsi="Calibri"/>
                <w:b w:val="false"/>
                <w:bCs w:val="false"/>
                <w:i w:val="false"/>
                <w:iCs w:val="false"/>
                <w:color w:val="1A1A1A"/>
                <w:sz w:val="18"/>
                <w:szCs w:val="18"/>
              </w:rPr>
              <w:t xml:space="preserve">1–2</w:t>
            </w:r>
          </w:p>
        </w:tc>
        <w:tc>
          <w:tcPr>
            <w:tcW w:type="dxa" w:w="1600"/>
          </w:tcPr>
          <w:p>
            <w:pPr>
              <w:spacing w:after="40" w:before="40"/>
            </w:pPr>
            <w:r>
              <w:rPr>
                <w:rFonts w:ascii="Calibri" w:cs="Calibri" w:eastAsia="Calibri" w:hAnsi="Calibri"/>
                <w:b w:val="false"/>
                <w:bCs w:val="false"/>
                <w:i w:val="false"/>
                <w:iCs w:val="false"/>
                <w:color w:val="1A1A1A"/>
                <w:sz w:val="18"/>
                <w:szCs w:val="18"/>
              </w:rPr>
              <w:t xml:space="preserve">T2</w:t>
            </w:r>
          </w:p>
        </w:tc>
        <w:tc>
          <w:tcPr>
            <w:tcW w:type="dxa" w:w="1500"/>
          </w:tcPr>
          <w:p>
            <w:pPr>
              <w:spacing w:after="40" w:before="40"/>
            </w:pPr>
            <w:r>
              <w:rPr>
                <w:rFonts w:ascii="Calibri" w:cs="Calibri" w:eastAsia="Calibri" w:hAnsi="Calibri"/>
                <w:b w:val="false"/>
                <w:bCs w:val="false"/>
                <w:i w:val="false"/>
                <w:iCs w:val="false"/>
                <w:color w:val="1A1A1A"/>
                <w:sz w:val="18"/>
                <w:szCs w:val="18"/>
              </w:rPr>
              <w:t xml:space="preserve">—</w:t>
            </w:r>
          </w:p>
        </w:tc>
        <w:tc>
          <w:tcPr>
            <w:tcW w:type="dxa" w:w="3000"/>
          </w:tcPr>
          <w:p>
            <w:pPr>
              <w:spacing w:after="40" w:before="40"/>
            </w:pPr>
            <w:r>
              <w:rPr>
                <w:rFonts w:ascii="Calibri" w:cs="Calibri" w:eastAsia="Calibri" w:hAnsi="Calibri"/>
                <w:b w:val="false"/>
                <w:bCs w:val="false"/>
                <w:i w:val="false"/>
                <w:iCs w:val="false"/>
                <w:color w:val="1A1A1A"/>
                <w:sz w:val="18"/>
                <w:szCs w:val="18"/>
              </w:rPr>
              <w:t xml:space="preserve">Precisión geométrica sobre planos chilenos</w:t>
            </w:r>
          </w:p>
        </w:tc>
      </w:tr>
      <w:tr>
        <w:tc>
          <w:tcPr>
            <w:tcW w:type="dxa" w:w="1800"/>
          </w:tcPr>
          <w:p>
            <w:pPr>
              <w:spacing w:after="40" w:before="40"/>
            </w:pPr>
            <w:r>
              <w:rPr>
                <w:rFonts w:ascii="Calibri" w:cs="Calibri" w:eastAsia="Calibri" w:hAnsi="Calibri"/>
                <w:b w:val="false"/>
                <w:bCs w:val="false"/>
                <w:i w:val="false"/>
                <w:iCs w:val="false"/>
                <w:color w:val="1A1A1A"/>
                <w:sz w:val="18"/>
                <w:szCs w:val="18"/>
              </w:rPr>
              <w:t xml:space="preserve">T2 · Validación</w:t>
            </w:r>
          </w:p>
        </w:tc>
        <w:tc>
          <w:tcPr>
            <w:tcW w:type="dxa" w:w="1100"/>
          </w:tcPr>
          <w:p>
            <w:pPr>
              <w:spacing w:after="40" w:before="40"/>
            </w:pPr>
            <w:r>
              <w:rPr>
                <w:rFonts w:ascii="Calibri" w:cs="Calibri" w:eastAsia="Calibri" w:hAnsi="Calibri"/>
                <w:b w:val="false"/>
                <w:bCs w:val="false"/>
                <w:i w:val="false"/>
                <w:iCs w:val="false"/>
                <w:color w:val="1A1A1A"/>
                <w:sz w:val="18"/>
                <w:szCs w:val="18"/>
              </w:rPr>
              <w:t xml:space="preserve">1–3</w:t>
            </w:r>
          </w:p>
        </w:tc>
        <w:tc>
          <w:tcPr>
            <w:tcW w:type="dxa" w:w="1600"/>
          </w:tcPr>
          <w:p>
            <w:pPr>
              <w:spacing w:after="40" w:before="40"/>
            </w:pPr>
            <w:r>
              <w:rPr>
                <w:rFonts w:ascii="Calibri" w:cs="Calibri" w:eastAsia="Calibri" w:hAnsi="Calibri"/>
                <w:b w:val="false"/>
                <w:bCs w:val="false"/>
                <w:i w:val="false"/>
                <w:iCs w:val="false"/>
                <w:color w:val="1A1A1A"/>
                <w:sz w:val="18"/>
                <w:szCs w:val="18"/>
              </w:rPr>
              <w:t xml:space="preserve">T1, T4</w:t>
            </w:r>
          </w:p>
        </w:tc>
        <w:tc>
          <w:tcPr>
            <w:tcW w:type="dxa" w:w="1500"/>
          </w:tcPr>
          <w:p>
            <w:pPr>
              <w:spacing w:after="40" w:before="40"/>
            </w:pPr>
            <w:r>
              <w:rPr>
                <w:rFonts w:ascii="Calibri" w:cs="Calibri" w:eastAsia="Calibri" w:hAnsi="Calibri"/>
                <w:b w:val="false"/>
                <w:bCs w:val="false"/>
                <w:i w:val="false"/>
                <w:iCs w:val="false"/>
                <w:color w:val="1A1A1A"/>
                <w:sz w:val="18"/>
                <w:szCs w:val="18"/>
              </w:rPr>
              <w:t xml:space="preserve">—</w:t>
            </w:r>
          </w:p>
        </w:tc>
        <w:tc>
          <w:tcPr>
            <w:tcW w:type="dxa" w:w="3000"/>
          </w:tcPr>
          <w:p>
            <w:pPr>
              <w:spacing w:after="40" w:before="40"/>
            </w:pPr>
            <w:r>
              <w:rPr>
                <w:rFonts w:ascii="Calibri" w:cs="Calibri" w:eastAsia="Calibri" w:hAnsi="Calibri"/>
                <w:b w:val="false"/>
                <w:bCs w:val="false"/>
                <w:i w:val="false"/>
                <w:iCs w:val="false"/>
                <w:color w:val="1A1A1A"/>
                <w:sz w:val="18"/>
                <w:szCs w:val="18"/>
              </w:rPr>
              <w:t xml:space="preserve">5–8 arquitectos en piloto, feedback documentado</w:t>
            </w:r>
          </w:p>
        </w:tc>
      </w:tr>
      <w:tr>
        <w:tc>
          <w:tcPr>
            <w:tcW w:type="dxa" w:w="1800"/>
          </w:tcPr>
          <w:p>
            <w:pPr>
              <w:spacing w:after="40" w:before="40"/>
            </w:pPr>
            <w:r>
              <w:rPr>
                <w:rFonts w:ascii="Calibri" w:cs="Calibri" w:eastAsia="Calibri" w:hAnsi="Calibri"/>
                <w:b w:val="false"/>
                <w:bCs w:val="false"/>
                <w:i w:val="false"/>
                <w:iCs w:val="false"/>
                <w:color w:val="1A1A1A"/>
                <w:sz w:val="18"/>
                <w:szCs w:val="18"/>
              </w:rPr>
              <w:t xml:space="preserve">T3 · Informe</w:t>
            </w:r>
          </w:p>
        </w:tc>
        <w:tc>
          <w:tcPr>
            <w:tcW w:type="dxa" w:w="1100"/>
          </w:tcPr>
          <w:p>
            <w:pPr>
              <w:spacing w:after="40" w:before="40"/>
            </w:pPr>
            <w:r>
              <w:rPr>
                <w:rFonts w:ascii="Calibri" w:cs="Calibri" w:eastAsia="Calibri" w:hAnsi="Calibri"/>
                <w:b w:val="false"/>
                <w:bCs w:val="false"/>
                <w:i w:val="false"/>
                <w:iCs w:val="false"/>
                <w:color w:val="1A1A1A"/>
                <w:sz w:val="18"/>
                <w:szCs w:val="18"/>
              </w:rPr>
              <w:t xml:space="preserve">2–3</w:t>
            </w:r>
          </w:p>
        </w:tc>
        <w:tc>
          <w:tcPr>
            <w:tcW w:type="dxa" w:w="1600"/>
          </w:tcPr>
          <w:p>
            <w:pPr>
              <w:spacing w:after="40" w:before="40"/>
            </w:pPr>
            <w:r>
              <w:rPr>
                <w:rFonts w:ascii="Calibri" w:cs="Calibri" w:eastAsia="Calibri" w:hAnsi="Calibri"/>
                <w:b w:val="false"/>
                <w:bCs w:val="false"/>
                <w:i w:val="false"/>
                <w:iCs w:val="false"/>
                <w:color w:val="1A1A1A"/>
                <w:sz w:val="18"/>
                <w:szCs w:val="18"/>
              </w:rPr>
              <w:t xml:space="preserve">—</w:t>
            </w:r>
          </w:p>
        </w:tc>
        <w:tc>
          <w:tcPr>
            <w:tcW w:type="dxa" w:w="1500"/>
          </w:tcPr>
          <w:p>
            <w:pPr>
              <w:spacing w:after="40" w:before="40"/>
            </w:pPr>
            <w:r>
              <w:rPr>
                <w:rFonts w:ascii="Calibri" w:cs="Calibri" w:eastAsia="Calibri" w:hAnsi="Calibri"/>
                <w:b w:val="false"/>
                <w:bCs w:val="false"/>
                <w:i w:val="false"/>
                <w:iCs w:val="false"/>
                <w:color w:val="1A1A1A"/>
                <w:sz w:val="18"/>
                <w:szCs w:val="18"/>
              </w:rPr>
              <w:t xml:space="preserve">T1 + T2</w:t>
            </w:r>
          </w:p>
        </w:tc>
        <w:tc>
          <w:tcPr>
            <w:tcW w:type="dxa" w:w="3000"/>
          </w:tcPr>
          <w:p>
            <w:pPr>
              <w:spacing w:after="40" w:before="40"/>
            </w:pPr>
            <w:r>
              <w:rPr>
                <w:rFonts w:ascii="Calibri" w:cs="Calibri" w:eastAsia="Calibri" w:hAnsi="Calibri"/>
                <w:b w:val="false"/>
                <w:bCs w:val="false"/>
                <w:i w:val="false"/>
                <w:iCs w:val="false"/>
                <w:color w:val="1A1A1A"/>
                <w:sz w:val="18"/>
                <w:szCs w:val="18"/>
              </w:rPr>
              <w:t xml:space="preserve">Ciclo completo: plano → informe DOM</w:t>
            </w:r>
          </w:p>
        </w:tc>
      </w:tr>
      <w:tr>
        <w:tc>
          <w:tcPr>
            <w:tcW w:type="dxa" w:w="1800"/>
          </w:tcPr>
          <w:p>
            <w:pPr>
              <w:spacing w:after="40" w:before="40"/>
            </w:pPr>
            <w:r>
              <w:rPr>
                <w:rFonts w:ascii="Calibri" w:cs="Calibri" w:eastAsia="Calibri" w:hAnsi="Calibri"/>
                <w:b w:val="false"/>
                <w:bCs w:val="false"/>
                <w:i w:val="false"/>
                <w:iCs w:val="false"/>
                <w:color w:val="1A1A1A"/>
                <w:sz w:val="18"/>
                <w:szCs w:val="18"/>
              </w:rPr>
              <w:t xml:space="preserve">T4 · Comercial</w:t>
            </w:r>
          </w:p>
        </w:tc>
        <w:tc>
          <w:tcPr>
            <w:tcW w:type="dxa" w:w="1100"/>
          </w:tcPr>
          <w:p>
            <w:pPr>
              <w:spacing w:after="40" w:before="40"/>
            </w:pPr>
            <w:r>
              <w:rPr>
                <w:rFonts w:ascii="Calibri" w:cs="Calibri" w:eastAsia="Calibri" w:hAnsi="Calibri"/>
                <w:b w:val="false"/>
                <w:bCs w:val="false"/>
                <w:i w:val="false"/>
                <w:iCs w:val="false"/>
                <w:color w:val="1A1A1A"/>
                <w:sz w:val="18"/>
                <w:szCs w:val="18"/>
              </w:rPr>
              <w:t xml:space="preserve">2–4</w:t>
            </w:r>
          </w:p>
        </w:tc>
        <w:tc>
          <w:tcPr>
            <w:tcW w:type="dxa" w:w="1600"/>
          </w:tcPr>
          <w:p>
            <w:pPr>
              <w:spacing w:after="40" w:before="40"/>
            </w:pPr>
            <w:r>
              <w:rPr>
                <w:rFonts w:ascii="Calibri" w:cs="Calibri" w:eastAsia="Calibri" w:hAnsi="Calibri"/>
                <w:b w:val="false"/>
                <w:bCs w:val="false"/>
                <w:i w:val="false"/>
                <w:iCs w:val="false"/>
                <w:color w:val="1A1A1A"/>
                <w:sz w:val="18"/>
                <w:szCs w:val="18"/>
              </w:rPr>
              <w:t xml:space="preserve">T1, T2</w:t>
            </w:r>
          </w:p>
        </w:tc>
        <w:tc>
          <w:tcPr>
            <w:tcW w:type="dxa" w:w="1500"/>
          </w:tcPr>
          <w:p>
            <w:pPr>
              <w:spacing w:after="40" w:before="40"/>
            </w:pPr>
            <w:r>
              <w:rPr>
                <w:rFonts w:ascii="Calibri" w:cs="Calibri" w:eastAsia="Calibri" w:hAnsi="Calibri"/>
                <w:b w:val="false"/>
                <w:bCs w:val="false"/>
                <w:i w:val="false"/>
                <w:iCs w:val="false"/>
                <w:color w:val="1A1A1A"/>
                <w:sz w:val="18"/>
                <w:szCs w:val="18"/>
              </w:rPr>
              <w:t xml:space="preserve">—</w:t>
            </w:r>
          </w:p>
        </w:tc>
        <w:tc>
          <w:tcPr>
            <w:tcW w:type="dxa" w:w="3000"/>
          </w:tcPr>
          <w:p>
            <w:pPr>
              <w:spacing w:after="40" w:before="40"/>
            </w:pPr>
            <w:r>
              <w:rPr>
                <w:rFonts w:ascii="Calibri" w:cs="Calibri" w:eastAsia="Calibri" w:hAnsi="Calibri"/>
                <w:b w:val="false"/>
                <w:bCs w:val="false"/>
                <w:i w:val="false"/>
                <w:iCs w:val="false"/>
                <w:color w:val="1A1A1A"/>
                <w:sz w:val="18"/>
                <w:szCs w:val="18"/>
              </w:rPr>
              <w:t xml:space="preserve">Plan de negocios + primeras ventas reales</w:t>
            </w:r>
          </w:p>
        </w:tc>
      </w:tr>
      <w:tr>
        <w:tc>
          <w:tcPr>
            <w:tcW w:type="dxa" w:w="1800"/>
          </w:tcPr>
          <w:p>
            <w:pPr>
              <w:spacing w:after="40" w:before="40"/>
            </w:pPr>
            <w:r>
              <w:rPr>
                <w:rFonts w:ascii="Calibri" w:cs="Calibri" w:eastAsia="Calibri" w:hAnsi="Calibri"/>
                <w:b w:val="false"/>
                <w:bCs w:val="false"/>
                <w:i w:val="false"/>
                <w:iCs w:val="false"/>
                <w:color w:val="1A1A1A"/>
                <w:sz w:val="18"/>
                <w:szCs w:val="18"/>
              </w:rPr>
              <w:t xml:space="preserve">T5 · Cierre</w:t>
            </w:r>
          </w:p>
        </w:tc>
        <w:tc>
          <w:tcPr>
            <w:tcW w:type="dxa" w:w="1100"/>
          </w:tcPr>
          <w:p>
            <w:pPr>
              <w:spacing w:after="40" w:before="40"/>
            </w:pPr>
            <w:r>
              <w:rPr>
                <w:rFonts w:ascii="Calibri" w:cs="Calibri" w:eastAsia="Calibri" w:hAnsi="Calibri"/>
                <w:b w:val="false"/>
                <w:bCs w:val="false"/>
                <w:i w:val="false"/>
                <w:iCs w:val="false"/>
                <w:color w:val="1A1A1A"/>
                <w:sz w:val="18"/>
                <w:szCs w:val="18"/>
              </w:rPr>
              <w:t xml:space="preserve">4</w:t>
            </w:r>
          </w:p>
        </w:tc>
        <w:tc>
          <w:tcPr>
            <w:tcW w:type="dxa" w:w="1600"/>
          </w:tcPr>
          <w:p>
            <w:pPr>
              <w:spacing w:after="40" w:before="40"/>
            </w:pPr>
            <w:r>
              <w:rPr>
                <w:rFonts w:ascii="Calibri" w:cs="Calibri" w:eastAsia="Calibri" w:hAnsi="Calibri"/>
                <w:b w:val="false"/>
                <w:bCs w:val="false"/>
                <w:i w:val="false"/>
                <w:iCs w:val="false"/>
                <w:color w:val="1A1A1A"/>
                <w:sz w:val="18"/>
                <w:szCs w:val="18"/>
              </w:rPr>
              <w:t xml:space="preserve">—</w:t>
            </w:r>
          </w:p>
        </w:tc>
        <w:tc>
          <w:tcPr>
            <w:tcW w:type="dxa" w:w="1500"/>
          </w:tcPr>
          <w:p>
            <w:pPr>
              <w:spacing w:after="40" w:before="40"/>
            </w:pPr>
            <w:r>
              <w:rPr>
                <w:rFonts w:ascii="Calibri" w:cs="Calibri" w:eastAsia="Calibri" w:hAnsi="Calibri"/>
                <w:b w:val="false"/>
                <w:bCs w:val="false"/>
                <w:i w:val="false"/>
                <w:iCs w:val="false"/>
                <w:color w:val="1A1A1A"/>
                <w:sz w:val="18"/>
                <w:szCs w:val="18"/>
              </w:rPr>
              <w:t xml:space="preserve">T1–T4</w:t>
            </w:r>
          </w:p>
        </w:tc>
        <w:tc>
          <w:tcPr>
            <w:tcW w:type="dxa" w:w="3000"/>
          </w:tcPr>
          <w:p>
            <w:pPr>
              <w:spacing w:after="40" w:before="40"/>
            </w:pPr>
            <w:r>
              <w:rPr>
                <w:rFonts w:ascii="Calibri" w:cs="Calibri" w:eastAsia="Calibri" w:hAnsi="Calibri"/>
                <w:b w:val="false"/>
                <w:bCs w:val="false"/>
                <w:i w:val="false"/>
                <w:iCs w:val="false"/>
                <w:color w:val="1A1A1A"/>
                <w:sz w:val="18"/>
                <w:szCs w:val="18"/>
              </w:rPr>
              <w:t xml:space="preserve">Métricas consolidadas + pipeline inversión</w:t>
            </w:r>
          </w:p>
        </w:tc>
      </w:tr>
    </w:tbl>
    <w:p>
      <w:pPr>
        <w:spacing w:after="200" w:before="0"/>
      </w:pPr>
      <w:r>
        <w:rPr>
          <w:rFonts w:ascii="Calibri" w:cs="Calibri" w:eastAsia="Calibri" w:hAnsi="Calibri"/>
          <w:b w:val="false"/>
          <w:bCs w:val="false"/>
          <w:i w:val="false"/>
          <w:iCs w:val="false"/>
          <w:color w:val="1A1A1A"/>
          <w:sz w:val="22"/>
          <w:szCs w:val="22"/>
        </w:rPr>
        <w:t xml:space="preserve"/>
      </w:r>
    </w:p>
    <w:p>
      <w:pPr>
        <w:spacing w:after="40" w:before="40"/>
      </w:pPr>
      <w:r>
        <w:rPr>
          <w:rFonts w:ascii="Calibri" w:cs="Calibri" w:eastAsia="Calibri" w:hAnsi="Calibri"/>
          <w:b w:val="false"/>
          <w:bCs w:val="false"/>
          <w:i w:val="false"/>
          <w:iCs w:val="false"/>
          <w:color w:val="6B7280"/>
          <w:sz w:val="16"/>
          <w:szCs w:val="16"/>
        </w:rPr>
        <w:t xml:space="preserve">──────────────────────────────────────────────────────────────────────</w:t>
      </w:r>
    </w:p>
    <w:p>
      <w:pPr>
        <w:spacing w:after="80" w:before="280"/>
      </w:pPr>
      <w:r>
        <w:rPr>
          <w:rFonts w:ascii="Calibri" w:cs="Calibri" w:eastAsia="Calibri" w:hAnsi="Calibri"/>
          <w:b/>
          <w:bCs/>
          <w:i w:val="false"/>
          <w:iCs w:val="false"/>
          <w:color w:val="1E40AF"/>
          <w:sz w:val="32"/>
          <w:szCs w:val="32"/>
        </w:rPr>
        <w:t xml:space="preserve">T1 — Motor de extracción confiable</w:t>
      </w:r>
    </w:p>
    <w:p>
      <w:pPr>
        <w:spacing w:after="60" w:before="0"/>
        <w:ind w:left="340"/>
      </w:pPr>
      <w:r>
        <w:rPr>
          <w:rFonts w:ascii="Calibri" w:cs="Calibri" w:eastAsia="Calibri" w:hAnsi="Calibri"/>
          <w:b/>
          <w:bCs/>
          <w:i w:val="false"/>
          <w:iCs w:val="false"/>
          <w:color w:val="1E40AF"/>
          <w:sz w:val="20"/>
          <w:szCs w:val="20"/>
        </w:rPr>
        <w:t xml:space="preserve">Período:  </w:t>
      </w:r>
      <w:r>
        <w:rPr>
          <w:rFonts w:ascii="Calibri" w:cs="Calibri" w:eastAsia="Calibri" w:hAnsi="Calibri"/>
          <w:b w:val="false"/>
          <w:bCs w:val="false"/>
          <w:i w:val="false"/>
          <w:iCs w:val="false"/>
          <w:color w:val="1A1A1A"/>
          <w:sz w:val="22"/>
          <w:szCs w:val="22"/>
        </w:rPr>
        <w:t xml:space="preserve">Meses 1–2</w:t>
      </w:r>
    </w:p>
    <w:p>
      <w:pPr>
        <w:spacing w:after="4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Integrar y calibrar Floor Plan API (y/o alternativas identificadas en el benchmark) sobre 10+ planos reales chilenos de distintos tipos (oficinas, comercio, vivienda). Definir métricas internas de precisión: IoU de muros y F1 de vanos, medidas contra ground truth propio. Este es el cuello de botella tecnológico que habilita T3.</w:t>
      </w:r>
    </w:p>
    <w:p>
      <w:pPr>
        <w:spacing w:after="60" w:before="0"/>
      </w:pPr>
      <w:r>
        <w:rPr>
          <w:rFonts w:ascii="Calibri" w:cs="Calibri" w:eastAsia="Calibri" w:hAnsi="Calibri"/>
          <w:b w:val="false"/>
          <w:bCs w:val="false"/>
          <w:i w:val="false"/>
          <w:iCs w:val="false"/>
          <w:color w:val="1A1A1A"/>
          <w:sz w:val="22"/>
          <w:szCs w:val="22"/>
        </w:rPr>
        <w:t xml:space="preserve"/>
      </w:r>
    </w:p>
    <w:p>
      <w:pPr>
        <w:spacing w:after="60" w:before="0"/>
      </w:pPr>
      <w:r>
        <w:rPr>
          <w:rFonts w:ascii="Calibri" w:cs="Calibri" w:eastAsia="Calibri" w:hAnsi="Calibri"/>
          <w:b/>
          <w:bCs/>
          <w:i w:val="false"/>
          <w:iCs w:val="false"/>
          <w:color w:val="1E40AF"/>
          <w:sz w:val="22"/>
          <w:szCs w:val="22"/>
        </w:rPr>
        <w:t xml:space="preserve">Mentores y redes (Startup Chile)</w:t>
      </w:r>
    </w:p>
    <w:p>
      <w:pPr>
        <w:spacing w:after="80" w:before="0"/>
        <w:ind w:left="340"/>
      </w:pPr>
      <w:r>
        <w:rPr>
          <w:rFonts w:ascii="Calibri" w:cs="Calibri" w:eastAsia="Calibri" w:hAnsi="Calibri"/>
          <w:b w:val="false"/>
          <w:bCs w:val="false"/>
          <w:i w:val="false"/>
          <w:iCs w:val="false"/>
          <w:color w:val="1A1A1A"/>
          <w:sz w:val="22"/>
          <w:szCs w:val="22"/>
        </w:rPr>
        <w:t xml:space="preserve">Conectar con al menos 1 mentor técnico (IA / visión computacional) para auditar la arquitectura de extracción y la elección de herramientas. Priorizar mentores del ecosistema Startup Chile con experiencia en computer vision o construcción tech.</w:t>
      </w:r>
    </w:p>
    <w:p>
      <w:pPr>
        <w:spacing w:after="60" w:before="0"/>
      </w:pPr>
      <w:r>
        <w:rPr>
          <w:rFonts w:ascii="Calibri" w:cs="Calibri" w:eastAsia="Calibri" w:hAnsi="Calibri"/>
          <w:b w:val="false"/>
          <w:bCs w:val="false"/>
          <w:i w:val="false"/>
          <w:iCs w:val="false"/>
          <w:color w:val="1A1A1A"/>
          <w:sz w:val="22"/>
          <w:szCs w:val="22"/>
        </w:rPr>
        <w:t xml:space="preserve"/>
      </w:r>
    </w:p>
    <w:p>
      <w:pPr>
        <w:spacing w:after="60" w:before="0"/>
      </w:pPr>
      <w:r>
        <w:rPr>
          <w:rFonts w:ascii="Calibri" w:cs="Calibri" w:eastAsia="Calibri" w:hAnsi="Calibri"/>
          <w:b/>
          <w:bCs/>
          <w:i w:val="false"/>
          <w:iCs w:val="false"/>
          <w:color w:val="1E40AF"/>
          <w:sz w:val="22"/>
          <w:szCs w:val="22"/>
        </w:rPr>
        <w:t xml:space="preserve">Entregables</w:t>
      </w:r>
    </w:p>
    <w:p>
      <w:pPr>
        <w:pStyle w:val="ListParagraph"/>
        <w:numPr>
          <w:ilvl w:val="0"/>
          <w:numId w:val="1"/>
        </w:numPr>
        <w:spacing w:after="60" w:before="0"/>
        <w:ind w:left="340"/>
      </w:pPr>
      <w:r>
        <w:rPr>
          <w:rFonts w:ascii="Calibri" w:cs="Calibri" w:eastAsia="Calibri" w:hAnsi="Calibri"/>
          <w:b w:val="false"/>
          <w:bCs w:val="false"/>
          <w:i w:val="false"/>
          <w:iCs w:val="false"/>
          <w:color w:val="1A1A1A"/>
          <w:sz w:val="22"/>
          <w:szCs w:val="22"/>
        </w:rPr>
        <w:t xml:space="preserve">Dataset ground truth: 10+ planos anotados con geometría verificada.</w:t>
      </w:r>
    </w:p>
    <w:p>
      <w:pPr>
        <w:pStyle w:val="ListParagraph"/>
        <w:numPr>
          <w:ilvl w:val="0"/>
          <w:numId w:val="1"/>
        </w:numPr>
        <w:spacing w:after="60" w:before="0"/>
        <w:ind w:left="340"/>
      </w:pPr>
      <w:r>
        <w:rPr>
          <w:rFonts w:ascii="Calibri" w:cs="Calibri" w:eastAsia="Calibri" w:hAnsi="Calibri"/>
          <w:b w:val="false"/>
          <w:bCs w:val="false"/>
          <w:i w:val="false"/>
          <w:iCs w:val="false"/>
          <w:color w:val="1A1A1A"/>
          <w:sz w:val="22"/>
          <w:szCs w:val="22"/>
        </w:rPr>
        <w:t xml:space="preserve">Informe de precisión técnica: IoU y F1 por tipo de plano y herramienta.</w:t>
      </w:r>
    </w:p>
    <w:p>
      <w:pPr>
        <w:pStyle w:val="ListParagraph"/>
        <w:numPr>
          <w:ilvl w:val="0"/>
          <w:numId w:val="1"/>
        </w:numPr>
        <w:spacing w:after="60" w:before="0"/>
        <w:ind w:left="340"/>
      </w:pPr>
      <w:r>
        <w:rPr>
          <w:rFonts w:ascii="Calibri" w:cs="Calibri" w:eastAsia="Calibri" w:hAnsi="Calibri"/>
          <w:b w:val="false"/>
          <w:bCs w:val="false"/>
          <w:i w:val="false"/>
          <w:iCs w:val="false"/>
          <w:color w:val="1A1A1A"/>
          <w:sz w:val="22"/>
          <w:szCs w:val="22"/>
        </w:rPr>
        <w:t xml:space="preserve">Decisión documentada de stack (Floor Plan API / alternativa) con justificación.</w:t>
      </w:r>
    </w:p>
    <w:p>
      <w:pPr>
        <w:spacing w:after="80" w:before="0"/>
      </w:pPr>
      <w:r>
        <w:rPr>
          <w:rFonts w:ascii="Calibri" w:cs="Calibri" w:eastAsia="Calibri" w:hAnsi="Calibri"/>
          <w:b w:val="false"/>
          <w:bCs w:val="false"/>
          <w:i w:val="false"/>
          <w:iCs w:val="false"/>
          <w:color w:val="1A1A1A"/>
          <w:sz w:val="22"/>
          <w:szCs w:val="22"/>
        </w:rPr>
        <w:t xml:space="preserve"/>
      </w:r>
    </w:p>
    <w:p>
      <w:pPr>
        <w:spacing w:after="40" w:before="40"/>
      </w:pPr>
      <w:r>
        <w:rPr>
          <w:rFonts w:ascii="Calibri" w:cs="Calibri" w:eastAsia="Calibri" w:hAnsi="Calibri"/>
          <w:b w:val="false"/>
          <w:bCs w:val="false"/>
          <w:i w:val="false"/>
          <w:iCs w:val="false"/>
          <w:color w:val="6B7280"/>
          <w:sz w:val="16"/>
          <w:szCs w:val="16"/>
        </w:rPr>
        <w:t xml:space="preserve">──────────────────────────────────────────────────────────────────────</w:t>
      </w:r>
    </w:p>
    <w:p>
      <w:pPr>
        <w:spacing w:after="80" w:before="280"/>
      </w:pPr>
      <w:r>
        <w:rPr>
          <w:rFonts w:ascii="Calibri" w:cs="Calibri" w:eastAsia="Calibri" w:hAnsi="Calibri"/>
          <w:b/>
          <w:bCs/>
          <w:i w:val="false"/>
          <w:iCs w:val="false"/>
          <w:color w:val="1E40AF"/>
          <w:sz w:val="32"/>
          <w:szCs w:val="32"/>
        </w:rPr>
        <w:t xml:space="preserve">T2 — Validación con arquitectos</w:t>
      </w:r>
    </w:p>
    <w:p>
      <w:pPr>
        <w:spacing w:after="60" w:before="0"/>
        <w:ind w:left="340"/>
      </w:pPr>
      <w:r>
        <w:rPr>
          <w:rFonts w:ascii="Calibri" w:cs="Calibri" w:eastAsia="Calibri" w:hAnsi="Calibri"/>
          <w:b/>
          <w:bCs/>
          <w:i w:val="false"/>
          <w:iCs w:val="false"/>
          <w:color w:val="1E40AF"/>
          <w:sz w:val="20"/>
          <w:szCs w:val="20"/>
        </w:rPr>
        <w:t xml:space="preserve">Período:  </w:t>
      </w:r>
      <w:r>
        <w:rPr>
          <w:rFonts w:ascii="Calibri" w:cs="Calibri" w:eastAsia="Calibri" w:hAnsi="Calibri"/>
          <w:b w:val="false"/>
          <w:bCs w:val="false"/>
          <w:i w:val="false"/>
          <w:iCs w:val="false"/>
          <w:color w:val="1A1A1A"/>
          <w:sz w:val="22"/>
          <w:szCs w:val="22"/>
        </w:rPr>
        <w:t xml:space="preserve">Meses 1–3 (paralela a T1)</w:t>
      </w:r>
    </w:p>
    <w:p>
      <w:pPr>
        <w:spacing w:after="4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Onboardear 5–8 arquitectos en piloto (pagado o simbólico). El foco es capturar qué hallazgos validan como útiles, cuáles rechazan y por qué — insumo directo para calibrar T1 y definir el formato de T3.</w:t>
      </w:r>
    </w:p>
    <w:p>
      <w:pPr>
        <w:spacing w:after="60" w:before="0"/>
      </w:pPr>
      <w:r>
        <w:rPr>
          <w:rFonts w:ascii="Calibri" w:cs="Calibri" w:eastAsia="Calibri" w:hAnsi="Calibri"/>
          <w:b w:val="false"/>
          <w:bCs w:val="false"/>
          <w:i w:val="false"/>
          <w:iCs w:val="false"/>
          <w:color w:val="1A1A1A"/>
          <w:sz w:val="22"/>
          <w:szCs w:val="22"/>
        </w:rPr>
        <w:t xml:space="preserve"/>
      </w:r>
    </w:p>
    <w:p>
      <w:pPr>
        <w:spacing w:after="60" w:before="0"/>
      </w:pPr>
      <w:r>
        <w:rPr>
          <w:rFonts w:ascii="Calibri" w:cs="Calibri" w:eastAsia="Calibri" w:hAnsi="Calibri"/>
          <w:b/>
          <w:bCs/>
          <w:i w:val="false"/>
          <w:iCs w:val="false"/>
          <w:color w:val="1E40AF"/>
          <w:sz w:val="22"/>
          <w:szCs w:val="22"/>
        </w:rPr>
        <w:t xml:space="preserve">Mentores y redes (Startup Chile)</w:t>
      </w:r>
    </w:p>
    <w:p>
      <w:pPr>
        <w:spacing w:after="80" w:before="0"/>
        <w:ind w:left="340"/>
      </w:pPr>
      <w:r>
        <w:rPr>
          <w:rFonts w:ascii="Calibri" w:cs="Calibri" w:eastAsia="Calibri" w:hAnsi="Calibri"/>
          <w:b w:val="false"/>
          <w:bCs w:val="false"/>
          <w:i w:val="false"/>
          <w:iCs w:val="false"/>
          <w:color w:val="1A1A1A"/>
          <w:sz w:val="22"/>
          <w:szCs w:val="22"/>
        </w:rPr>
        <w:t xml:space="preserve">Usar la red de Startup Chile (founders, corporativos, actividades del programa) para acceso a estudios de arquitectura y contactos en DOMs. Al menos 1 mentor con experiencia en ventas B2B o en el sector construcción/inmobiliario.</w:t>
      </w:r>
    </w:p>
    <w:p>
      <w:pPr>
        <w:spacing w:after="60" w:before="0"/>
      </w:pPr>
      <w:r>
        <w:rPr>
          <w:rFonts w:ascii="Calibri" w:cs="Calibri" w:eastAsia="Calibri" w:hAnsi="Calibri"/>
          <w:b w:val="false"/>
          <w:bCs w:val="false"/>
          <w:i w:val="false"/>
          <w:iCs w:val="false"/>
          <w:color w:val="1A1A1A"/>
          <w:sz w:val="22"/>
          <w:szCs w:val="22"/>
        </w:rPr>
        <w:t xml:space="preserve"/>
      </w:r>
    </w:p>
    <w:p>
      <w:pPr>
        <w:spacing w:after="60" w:before="0"/>
      </w:pPr>
      <w:r>
        <w:rPr>
          <w:rFonts w:ascii="Calibri" w:cs="Calibri" w:eastAsia="Calibri" w:hAnsi="Calibri"/>
          <w:b/>
          <w:bCs/>
          <w:i w:val="false"/>
          <w:iCs w:val="false"/>
          <w:color w:val="1E40AF"/>
          <w:sz w:val="22"/>
          <w:szCs w:val="22"/>
        </w:rPr>
        <w:t xml:space="preserve">Entregables</w:t>
      </w:r>
    </w:p>
    <w:p>
      <w:pPr>
        <w:pStyle w:val="ListParagraph"/>
        <w:numPr>
          <w:ilvl w:val="0"/>
          <w:numId w:val="1"/>
        </w:numPr>
        <w:spacing w:after="60" w:before="0"/>
        <w:ind w:left="340"/>
      </w:pPr>
      <w:r>
        <w:rPr>
          <w:rFonts w:ascii="Calibri" w:cs="Calibri" w:eastAsia="Calibri" w:hAnsi="Calibri"/>
          <w:b w:val="false"/>
          <w:bCs w:val="false"/>
          <w:i w:val="false"/>
          <w:iCs w:val="false"/>
          <w:color w:val="1A1A1A"/>
          <w:sz w:val="22"/>
          <w:szCs w:val="22"/>
        </w:rPr>
        <w:t xml:space="preserve">8+ entrevistas documentadas (problema, flujo actual, disposición a pagar).</w:t>
      </w:r>
    </w:p>
    <w:p>
      <w:pPr>
        <w:pStyle w:val="ListParagraph"/>
        <w:numPr>
          <w:ilvl w:val="0"/>
          <w:numId w:val="1"/>
        </w:numPr>
        <w:spacing w:after="60" w:before="0"/>
        <w:ind w:left="340"/>
      </w:pPr>
      <w:r>
        <w:rPr>
          <w:rFonts w:ascii="Calibri" w:cs="Calibri" w:eastAsia="Calibri" w:hAnsi="Calibri"/>
          <w:b w:val="false"/>
          <w:bCs w:val="false"/>
          <w:i w:val="false"/>
          <w:iCs w:val="false"/>
          <w:color w:val="1A1A1A"/>
          <w:sz w:val="22"/>
          <w:szCs w:val="22"/>
        </w:rPr>
        <w:t xml:space="preserve">Matriz de feedback por tipo de observación (acepta / rechaza / modifica).</w:t>
      </w:r>
    </w:p>
    <w:p>
      <w:pPr>
        <w:pStyle w:val="ListParagraph"/>
        <w:numPr>
          <w:ilvl w:val="0"/>
          <w:numId w:val="1"/>
        </w:numPr>
        <w:spacing w:after="60" w:before="0"/>
        <w:ind w:left="340"/>
      </w:pPr>
      <w:r>
        <w:rPr>
          <w:rFonts w:ascii="Calibri" w:cs="Calibri" w:eastAsia="Calibri" w:hAnsi="Calibri"/>
          <w:b w:val="false"/>
          <w:bCs w:val="false"/>
          <w:i w:val="false"/>
          <w:iCs w:val="false"/>
          <w:color w:val="1A1A1A"/>
          <w:sz w:val="22"/>
          <w:szCs w:val="22"/>
        </w:rPr>
        <w:t xml:space="preserve">3+ pilotos activos con acuerdo firmado (aunque sea piloto gratuito).</w:t>
      </w:r>
    </w:p>
    <w:p>
      <w:pPr>
        <w:spacing w:after="80" w:before="0"/>
      </w:pPr>
      <w:r>
        <w:rPr>
          <w:rFonts w:ascii="Calibri" w:cs="Calibri" w:eastAsia="Calibri" w:hAnsi="Calibri"/>
          <w:b w:val="false"/>
          <w:bCs w:val="false"/>
          <w:i w:val="false"/>
          <w:iCs w:val="false"/>
          <w:color w:val="1A1A1A"/>
          <w:sz w:val="22"/>
          <w:szCs w:val="22"/>
        </w:rPr>
        <w:t xml:space="preserve"/>
      </w:r>
    </w:p>
    <w:p>
      <w:pPr>
        <w:spacing w:after="40" w:before="40"/>
      </w:pPr>
      <w:r>
        <w:rPr>
          <w:rFonts w:ascii="Calibri" w:cs="Calibri" w:eastAsia="Calibri" w:hAnsi="Calibri"/>
          <w:b w:val="false"/>
          <w:bCs w:val="false"/>
          <w:i w:val="false"/>
          <w:iCs w:val="false"/>
          <w:color w:val="6B7280"/>
          <w:sz w:val="16"/>
          <w:szCs w:val="16"/>
        </w:rPr>
        <w:t xml:space="preserve">──────────────────────────────────────────────────────────────────────</w:t>
      </w:r>
    </w:p>
    <w:p>
      <w:pPr>
        <w:spacing w:after="80" w:before="280"/>
      </w:pPr>
      <w:r>
        <w:rPr>
          <w:rFonts w:ascii="Calibri" w:cs="Calibri" w:eastAsia="Calibri" w:hAnsi="Calibri"/>
          <w:b/>
          <w:bCs/>
          <w:i w:val="false"/>
          <w:iCs w:val="false"/>
          <w:color w:val="1E40AF"/>
          <w:sz w:val="32"/>
          <w:szCs w:val="32"/>
        </w:rPr>
        <w:t xml:space="preserve">T3 — Informe de cumplimiento exportable</w:t>
      </w:r>
    </w:p>
    <w:p>
      <w:pPr>
        <w:spacing w:after="60" w:before="0"/>
        <w:ind w:left="340"/>
      </w:pPr>
      <w:r>
        <w:rPr>
          <w:rFonts w:ascii="Calibri" w:cs="Calibri" w:eastAsia="Calibri" w:hAnsi="Calibri"/>
          <w:b/>
          <w:bCs/>
          <w:i w:val="false"/>
          <w:iCs w:val="false"/>
          <w:color w:val="1E40AF"/>
          <w:sz w:val="20"/>
          <w:szCs w:val="20"/>
        </w:rPr>
        <w:t xml:space="preserve">Período:  </w:t>
      </w:r>
      <w:r>
        <w:rPr>
          <w:rFonts w:ascii="Calibri" w:cs="Calibri" w:eastAsia="Calibri" w:hAnsi="Calibri"/>
          <w:b w:val="false"/>
          <w:bCs w:val="false"/>
          <w:i w:val="false"/>
          <w:iCs w:val="false"/>
          <w:color w:val="1A1A1A"/>
          <w:sz w:val="22"/>
          <w:szCs w:val="22"/>
        </w:rPr>
        <w:t xml:space="preserve">Meses 2–3</w:t>
      </w:r>
    </w:p>
    <w:p>
      <w:pPr>
        <w:spacing w:after="4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Cerrar el ciclo completo del producto: plano → extracción geométrica → revisión OGUC/PRC → informe Word/PDF con citas normativas exactas por artículo, listo para adjuntar a un expediente DOM. Es la entrega de valor que convierte el prototipo en algo que el arquitecto puede cobrarle a su cliente.</w:t>
      </w:r>
    </w:p>
    <w:p>
      <w:pPr>
        <w:spacing w:after="60" w:before="0"/>
      </w:pPr>
      <w:r>
        <w:rPr>
          <w:rFonts w:ascii="Calibri" w:cs="Calibri" w:eastAsia="Calibri" w:hAnsi="Calibri"/>
          <w:b w:val="false"/>
          <w:bCs w:val="false"/>
          <w:i w:val="false"/>
          <w:iCs w:val="false"/>
          <w:color w:val="1A1A1A"/>
          <w:sz w:val="22"/>
          <w:szCs w:val="22"/>
        </w:rPr>
        <w:t xml:space="preserve"/>
      </w:r>
    </w:p>
    <w:p>
      <w:pPr>
        <w:spacing w:after="60" w:before="0"/>
      </w:pPr>
      <w:r>
        <w:rPr>
          <w:rFonts w:ascii="Calibri" w:cs="Calibri" w:eastAsia="Calibri" w:hAnsi="Calibri"/>
          <w:b/>
          <w:bCs/>
          <w:i w:val="false"/>
          <w:iCs w:val="false"/>
          <w:color w:val="1E40AF"/>
          <w:sz w:val="22"/>
          <w:szCs w:val="22"/>
        </w:rPr>
        <w:t xml:space="preserve">Mentores y redes (Startup Chile)</w:t>
      </w:r>
    </w:p>
    <w:p>
      <w:pPr>
        <w:spacing w:after="80" w:before="0"/>
        <w:ind w:left="340"/>
      </w:pPr>
      <w:r>
        <w:rPr>
          <w:rFonts w:ascii="Calibri" w:cs="Calibri" w:eastAsia="Calibri" w:hAnsi="Calibri"/>
          <w:b w:val="false"/>
          <w:bCs w:val="false"/>
          <w:i w:val="false"/>
          <w:iCs w:val="false"/>
          <w:color w:val="1A1A1A"/>
          <w:sz w:val="22"/>
          <w:szCs w:val="22"/>
        </w:rPr>
        <w:t xml:space="preserve">1 mentor de producto/UX para validar el formato del informe con el usuario real antes de construirlo. Si el programa conecta con corporativos del sector inmobiliario, usar esas reuniones para testear el informe como artefacto.</w:t>
      </w:r>
    </w:p>
    <w:p>
      <w:pPr>
        <w:spacing w:after="60" w:before="0"/>
      </w:pPr>
      <w:r>
        <w:rPr>
          <w:rFonts w:ascii="Calibri" w:cs="Calibri" w:eastAsia="Calibri" w:hAnsi="Calibri"/>
          <w:b w:val="false"/>
          <w:bCs w:val="false"/>
          <w:i w:val="false"/>
          <w:iCs w:val="false"/>
          <w:color w:val="1A1A1A"/>
          <w:sz w:val="22"/>
          <w:szCs w:val="22"/>
        </w:rPr>
        <w:t xml:space="preserve"/>
      </w:r>
    </w:p>
    <w:p>
      <w:pPr>
        <w:spacing w:after="60" w:before="0"/>
      </w:pPr>
      <w:r>
        <w:rPr>
          <w:rFonts w:ascii="Calibri" w:cs="Calibri" w:eastAsia="Calibri" w:hAnsi="Calibri"/>
          <w:b/>
          <w:bCs/>
          <w:i w:val="false"/>
          <w:iCs w:val="false"/>
          <w:color w:val="1E40AF"/>
          <w:sz w:val="22"/>
          <w:szCs w:val="22"/>
        </w:rPr>
        <w:t xml:space="preserve">Entregables</w:t>
      </w:r>
    </w:p>
    <w:p>
      <w:pPr>
        <w:pStyle w:val="ListParagraph"/>
        <w:numPr>
          <w:ilvl w:val="0"/>
          <w:numId w:val="1"/>
        </w:numPr>
        <w:spacing w:after="60" w:before="0"/>
        <w:ind w:left="340"/>
      </w:pPr>
      <w:r>
        <w:rPr>
          <w:rFonts w:ascii="Calibri" w:cs="Calibri" w:eastAsia="Calibri" w:hAnsi="Calibri"/>
          <w:b w:val="false"/>
          <w:bCs w:val="false"/>
          <w:i w:val="false"/>
          <w:iCs w:val="false"/>
          <w:color w:val="1A1A1A"/>
          <w:sz w:val="22"/>
          <w:szCs w:val="22"/>
        </w:rPr>
        <w:t xml:space="preserve">Template de informe validado por al menos 3 arquitectos.</w:t>
      </w:r>
    </w:p>
    <w:p>
      <w:pPr>
        <w:pStyle w:val="ListParagraph"/>
        <w:numPr>
          <w:ilvl w:val="0"/>
          <w:numId w:val="1"/>
        </w:numPr>
        <w:spacing w:after="60" w:before="0"/>
        <w:ind w:left="340"/>
      </w:pPr>
      <w:r>
        <w:rPr>
          <w:rFonts w:ascii="Calibri" w:cs="Calibri" w:eastAsia="Calibri" w:hAnsi="Calibri"/>
          <w:b w:val="false"/>
          <w:bCs w:val="false"/>
          <w:i w:val="false"/>
          <w:iCs w:val="false"/>
          <w:color w:val="1A1A1A"/>
          <w:sz w:val="22"/>
          <w:szCs w:val="22"/>
        </w:rPr>
        <w:t xml:space="preserve">Documentación de las reglas normativas implementadas (artículos OGUC/PRC codificados).</w:t>
      </w:r>
    </w:p>
    <w:p>
      <w:pPr>
        <w:pStyle w:val="ListParagraph"/>
        <w:numPr>
          <w:ilvl w:val="0"/>
          <w:numId w:val="1"/>
        </w:numPr>
        <w:spacing w:after="60" w:before="0"/>
        <w:ind w:left="340"/>
      </w:pPr>
      <w:r>
        <w:rPr>
          <w:rFonts w:ascii="Calibri" w:cs="Calibri" w:eastAsia="Calibri" w:hAnsi="Calibri"/>
          <w:b w:val="false"/>
          <w:bCs w:val="false"/>
          <w:i w:val="false"/>
          <w:iCs w:val="false"/>
          <w:color w:val="1A1A1A"/>
          <w:sz w:val="22"/>
          <w:szCs w:val="22"/>
        </w:rPr>
        <w:t xml:space="preserve">Integración del informe en el flujo del producto (generación automática desde la plataforma).</w:t>
      </w:r>
    </w:p>
    <w:p>
      <w:pPr>
        <w:spacing w:after="80" w:before="0"/>
      </w:pPr>
      <w:r>
        <w:rPr>
          <w:rFonts w:ascii="Calibri" w:cs="Calibri" w:eastAsia="Calibri" w:hAnsi="Calibri"/>
          <w:b w:val="false"/>
          <w:bCs w:val="false"/>
          <w:i w:val="false"/>
          <w:iCs w:val="false"/>
          <w:color w:val="1A1A1A"/>
          <w:sz w:val="22"/>
          <w:szCs w:val="22"/>
        </w:rPr>
        <w:t xml:space="preserve"/>
      </w:r>
    </w:p>
    <w:p>
      <w:pPr>
        <w:spacing w:after="40" w:before="40"/>
      </w:pPr>
      <w:r>
        <w:rPr>
          <w:rFonts w:ascii="Calibri" w:cs="Calibri" w:eastAsia="Calibri" w:hAnsi="Calibri"/>
          <w:b w:val="false"/>
          <w:bCs w:val="false"/>
          <w:i w:val="false"/>
          <w:iCs w:val="false"/>
          <w:color w:val="6B7280"/>
          <w:sz w:val="16"/>
          <w:szCs w:val="16"/>
        </w:rPr>
        <w:t xml:space="preserve">──────────────────────────────────────────────────────────────────────</w:t>
      </w:r>
    </w:p>
    <w:p>
      <w:pPr>
        <w:spacing w:after="80" w:before="280"/>
      </w:pPr>
      <w:r>
        <w:rPr>
          <w:rFonts w:ascii="Calibri" w:cs="Calibri" w:eastAsia="Calibri" w:hAnsi="Calibri"/>
          <w:b/>
          <w:bCs/>
          <w:i w:val="false"/>
          <w:iCs w:val="false"/>
          <w:color w:val="1E40AF"/>
          <w:sz w:val="32"/>
          <w:szCs w:val="32"/>
        </w:rPr>
        <w:t xml:space="preserve">T4 — Comercialización y plan de negocios</w:t>
      </w:r>
    </w:p>
    <w:p>
      <w:pPr>
        <w:spacing w:after="60" w:before="0"/>
        <w:ind w:left="340"/>
      </w:pPr>
      <w:r>
        <w:rPr>
          <w:rFonts w:ascii="Calibri" w:cs="Calibri" w:eastAsia="Calibri" w:hAnsi="Calibri"/>
          <w:b/>
          <w:bCs/>
          <w:i w:val="false"/>
          <w:iCs w:val="false"/>
          <w:color w:val="1E40AF"/>
          <w:sz w:val="20"/>
          <w:szCs w:val="20"/>
        </w:rPr>
        <w:t xml:space="preserve">Período:  </w:t>
      </w:r>
      <w:r>
        <w:rPr>
          <w:rFonts w:ascii="Calibri" w:cs="Calibri" w:eastAsia="Calibri" w:hAnsi="Calibri"/>
          <w:b w:val="false"/>
          <w:bCs w:val="false"/>
          <w:i w:val="false"/>
          <w:iCs w:val="false"/>
          <w:color w:val="1A1A1A"/>
          <w:sz w:val="22"/>
          <w:szCs w:val="22"/>
        </w:rPr>
        <w:t xml:space="preserve">Meses 2–4 (paralela)</w:t>
      </w:r>
    </w:p>
    <w:p>
      <w:pPr>
        <w:spacing w:after="4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Definir precio, canal y propuesta de valor concreta (qué le ahorra en tiempo y dinero al arquitecto, medido con datos reales de T2). Ejecutar primeras ventas. Desarrollar el modelo financiero del negocio usando los talleres y mentorías del programa.</w:t>
      </w:r>
    </w:p>
    <w:p>
      <w:pPr>
        <w:spacing w:after="60" w:before="0"/>
      </w:pPr>
      <w:r>
        <w:rPr>
          <w:rFonts w:ascii="Calibri" w:cs="Calibri" w:eastAsia="Calibri" w:hAnsi="Calibri"/>
          <w:b w:val="false"/>
          <w:bCs w:val="false"/>
          <w:i w:val="false"/>
          <w:iCs w:val="false"/>
          <w:color w:val="1A1A1A"/>
          <w:sz w:val="22"/>
          <w:szCs w:val="22"/>
        </w:rPr>
        <w:t xml:space="preserve"/>
      </w:r>
    </w:p>
    <w:p>
      <w:pPr>
        <w:spacing w:after="60" w:before="0"/>
      </w:pPr>
      <w:r>
        <w:rPr>
          <w:rFonts w:ascii="Calibri" w:cs="Calibri" w:eastAsia="Calibri" w:hAnsi="Calibri"/>
          <w:b/>
          <w:bCs/>
          <w:i w:val="false"/>
          <w:iCs w:val="false"/>
          <w:color w:val="1E40AF"/>
          <w:sz w:val="22"/>
          <w:szCs w:val="22"/>
        </w:rPr>
        <w:t xml:space="preserve">Mentores y redes (Startup Chile)</w:t>
      </w:r>
    </w:p>
    <w:p>
      <w:pPr>
        <w:spacing w:after="80" w:before="0"/>
        <w:ind w:left="340"/>
      </w:pPr>
      <w:r>
        <w:rPr>
          <w:rFonts w:ascii="Calibri" w:cs="Calibri" w:eastAsia="Calibri" w:hAnsi="Calibri"/>
          <w:b w:val="false"/>
          <w:bCs w:val="false"/>
          <w:i w:val="false"/>
          <w:iCs w:val="false"/>
          <w:color w:val="1A1A1A"/>
          <w:sz w:val="22"/>
          <w:szCs w:val="22"/>
        </w:rPr>
        <w:t xml:space="preserve">1 mentor de go-to-market o ventas SaaS B2B. Usar las actividades de aceleración de Startup Chile (talleres de pricing, pitch, modelo de negocio) como insumo directo para construir el plan. Networking con corporativos del ecosistema como potenciales clientes o aliados de distribución.</w:t>
      </w:r>
    </w:p>
    <w:p>
      <w:pPr>
        <w:spacing w:after="60" w:before="0"/>
      </w:pPr>
      <w:r>
        <w:rPr>
          <w:rFonts w:ascii="Calibri" w:cs="Calibri" w:eastAsia="Calibri" w:hAnsi="Calibri"/>
          <w:b w:val="false"/>
          <w:bCs w:val="false"/>
          <w:i w:val="false"/>
          <w:iCs w:val="false"/>
          <w:color w:val="1A1A1A"/>
          <w:sz w:val="22"/>
          <w:szCs w:val="22"/>
        </w:rPr>
        <w:t xml:space="preserve"/>
      </w:r>
    </w:p>
    <w:p>
      <w:pPr>
        <w:spacing w:after="60" w:before="0"/>
      </w:pPr>
      <w:r>
        <w:rPr>
          <w:rFonts w:ascii="Calibri" w:cs="Calibri" w:eastAsia="Calibri" w:hAnsi="Calibri"/>
          <w:b/>
          <w:bCs/>
          <w:i w:val="false"/>
          <w:iCs w:val="false"/>
          <w:color w:val="1E40AF"/>
          <w:sz w:val="22"/>
          <w:szCs w:val="22"/>
        </w:rPr>
        <w:t xml:space="preserve">Entregables</w:t>
      </w:r>
    </w:p>
    <w:p>
      <w:pPr>
        <w:pStyle w:val="ListParagraph"/>
        <w:numPr>
          <w:ilvl w:val="0"/>
          <w:numId w:val="1"/>
        </w:numPr>
        <w:spacing w:after="60" w:before="0"/>
        <w:ind w:left="340"/>
      </w:pPr>
      <w:r>
        <w:rPr>
          <w:rFonts w:ascii="Calibri" w:cs="Calibri" w:eastAsia="Calibri" w:hAnsi="Calibri"/>
          <w:b w:val="false"/>
          <w:bCs w:val="false"/>
          <w:i w:val="false"/>
          <w:iCs w:val="false"/>
          <w:color w:val="1A1A1A"/>
          <w:sz w:val="22"/>
          <w:szCs w:val="22"/>
        </w:rPr>
        <w:t xml:space="preserve">Plan de negocios: modelo de ingresos, proyección a 12 meses, CAC/LTV estimado.</w:t>
      </w:r>
    </w:p>
    <w:p>
      <w:pPr>
        <w:pStyle w:val="ListParagraph"/>
        <w:numPr>
          <w:ilvl w:val="0"/>
          <w:numId w:val="1"/>
        </w:numPr>
        <w:spacing w:after="60" w:before="0"/>
        <w:ind w:left="340"/>
      </w:pPr>
      <w:r>
        <w:rPr>
          <w:rFonts w:ascii="Calibri" w:cs="Calibri" w:eastAsia="Calibri" w:hAnsi="Calibri"/>
          <w:b w:val="false"/>
          <w:bCs w:val="false"/>
          <w:i w:val="false"/>
          <w:iCs w:val="false"/>
          <w:color w:val="1A1A1A"/>
          <w:sz w:val="22"/>
          <w:szCs w:val="22"/>
        </w:rPr>
        <w:t xml:space="preserve">3–5 ventas documentadas (contrato o factura).</w:t>
      </w:r>
    </w:p>
    <w:p>
      <w:pPr>
        <w:pStyle w:val="ListParagraph"/>
        <w:numPr>
          <w:ilvl w:val="0"/>
          <w:numId w:val="1"/>
        </w:numPr>
        <w:spacing w:after="60" w:before="0"/>
        <w:ind w:left="340"/>
      </w:pPr>
      <w:r>
        <w:rPr>
          <w:rFonts w:ascii="Calibri" w:cs="Calibri" w:eastAsia="Calibri" w:hAnsi="Calibri"/>
          <w:b w:val="false"/>
          <w:bCs w:val="false"/>
          <w:i w:val="false"/>
          <w:iCs w:val="false"/>
          <w:color w:val="1A1A1A"/>
          <w:sz w:val="22"/>
          <w:szCs w:val="22"/>
        </w:rPr>
        <w:t xml:space="preserve">MRR demostrable al cierre del programa.</w:t>
      </w:r>
    </w:p>
    <w:p>
      <w:pPr>
        <w:pStyle w:val="ListParagraph"/>
        <w:numPr>
          <w:ilvl w:val="0"/>
          <w:numId w:val="1"/>
        </w:numPr>
        <w:spacing w:after="60" w:before="0"/>
        <w:ind w:left="340"/>
      </w:pPr>
      <w:r>
        <w:rPr>
          <w:rFonts w:ascii="Calibri" w:cs="Calibri" w:eastAsia="Calibri" w:hAnsi="Calibri"/>
          <w:b w:val="false"/>
          <w:bCs w:val="false"/>
          <w:i w:val="false"/>
          <w:iCs w:val="false"/>
          <w:color w:val="1A1A1A"/>
          <w:sz w:val="22"/>
          <w:szCs w:val="22"/>
        </w:rPr>
        <w:t xml:space="preserve">Benchmark competitivo actualizado (Revi, revisores manuales, herramientas internacionales).</w:t>
      </w:r>
    </w:p>
    <w:p>
      <w:pPr>
        <w:spacing w:after="80" w:before="0"/>
      </w:pPr>
      <w:r>
        <w:rPr>
          <w:rFonts w:ascii="Calibri" w:cs="Calibri" w:eastAsia="Calibri" w:hAnsi="Calibri"/>
          <w:b w:val="false"/>
          <w:bCs w:val="false"/>
          <w:i w:val="false"/>
          <w:iCs w:val="false"/>
          <w:color w:val="1A1A1A"/>
          <w:sz w:val="22"/>
          <w:szCs w:val="22"/>
        </w:rPr>
        <w:t xml:space="preserve"/>
      </w:r>
    </w:p>
    <w:p>
      <w:pPr>
        <w:spacing w:after="40" w:before="40"/>
      </w:pPr>
      <w:r>
        <w:rPr>
          <w:rFonts w:ascii="Calibri" w:cs="Calibri" w:eastAsia="Calibri" w:hAnsi="Calibri"/>
          <w:b w:val="false"/>
          <w:bCs w:val="false"/>
          <w:i w:val="false"/>
          <w:iCs w:val="false"/>
          <w:color w:val="6B7280"/>
          <w:sz w:val="16"/>
          <w:szCs w:val="16"/>
        </w:rPr>
        <w:t xml:space="preserve">──────────────────────────────────────────────────────────────────────</w:t>
      </w:r>
    </w:p>
    <w:p>
      <w:pPr>
        <w:spacing w:after="80" w:before="280"/>
      </w:pPr>
      <w:r>
        <w:rPr>
          <w:rFonts w:ascii="Calibri" w:cs="Calibri" w:eastAsia="Calibri" w:hAnsi="Calibri"/>
          <w:b/>
          <w:bCs/>
          <w:i w:val="false"/>
          <w:iCs w:val="false"/>
          <w:color w:val="1E40AF"/>
          <w:sz w:val="32"/>
          <w:szCs w:val="32"/>
        </w:rPr>
        <w:t xml:space="preserve">T5 — Cierre e inicio de levantamiento de capital</w:t>
      </w:r>
    </w:p>
    <w:p>
      <w:pPr>
        <w:spacing w:after="60" w:before="0"/>
        <w:ind w:left="340"/>
      </w:pPr>
      <w:r>
        <w:rPr>
          <w:rFonts w:ascii="Calibri" w:cs="Calibri" w:eastAsia="Calibri" w:hAnsi="Calibri"/>
          <w:b/>
          <w:bCs/>
          <w:i w:val="false"/>
          <w:iCs w:val="false"/>
          <w:color w:val="1E40AF"/>
          <w:sz w:val="20"/>
          <w:szCs w:val="20"/>
        </w:rPr>
        <w:t xml:space="preserve">Período:  </w:t>
      </w:r>
      <w:r>
        <w:rPr>
          <w:rFonts w:ascii="Calibri" w:cs="Calibri" w:eastAsia="Calibri" w:hAnsi="Calibri"/>
          <w:b w:val="false"/>
          <w:bCs w:val="false"/>
          <w:i w:val="false"/>
          <w:iCs w:val="false"/>
          <w:color w:val="1A1A1A"/>
          <w:sz w:val="22"/>
          <w:szCs w:val="22"/>
        </w:rPr>
        <w:t xml:space="preserve">Mes 4</w:t>
      </w:r>
    </w:p>
    <w:p>
      <w:pPr>
        <w:spacing w:after="4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Consolidar métricas del programa (precisión técnica, usuarios activos, MRR) y abrir conversaciones con inversionistas usando los datos reales como tracción. El objetivo es tener todo listo para levantar una ronda seed una vez cerrado el Ignite.</w:t>
      </w:r>
    </w:p>
    <w:p>
      <w:pPr>
        <w:spacing w:after="60" w:before="0"/>
      </w:pPr>
      <w:r>
        <w:rPr>
          <w:rFonts w:ascii="Calibri" w:cs="Calibri" w:eastAsia="Calibri" w:hAnsi="Calibri"/>
          <w:b w:val="false"/>
          <w:bCs w:val="false"/>
          <w:i w:val="false"/>
          <w:iCs w:val="false"/>
          <w:color w:val="1A1A1A"/>
          <w:sz w:val="22"/>
          <w:szCs w:val="22"/>
        </w:rPr>
        <w:t xml:space="preserve"/>
      </w:r>
    </w:p>
    <w:p>
      <w:pPr>
        <w:spacing w:after="60" w:before="0"/>
      </w:pPr>
      <w:r>
        <w:rPr>
          <w:rFonts w:ascii="Calibri" w:cs="Calibri" w:eastAsia="Calibri" w:hAnsi="Calibri"/>
          <w:b/>
          <w:bCs/>
          <w:i w:val="false"/>
          <w:iCs w:val="false"/>
          <w:color w:val="1E40AF"/>
          <w:sz w:val="22"/>
          <w:szCs w:val="22"/>
        </w:rPr>
        <w:t xml:space="preserve">Mentores y redes (Startup Chile)</w:t>
      </w:r>
    </w:p>
    <w:p>
      <w:pPr>
        <w:spacing w:after="80" w:before="0"/>
        <w:ind w:left="340"/>
      </w:pPr>
      <w:r>
        <w:rPr>
          <w:rFonts w:ascii="Calibri" w:cs="Calibri" w:eastAsia="Calibri" w:hAnsi="Calibri"/>
          <w:b w:val="false"/>
          <w:bCs w:val="false"/>
          <w:i w:val="false"/>
          <w:iCs w:val="false"/>
          <w:color w:val="1A1A1A"/>
          <w:sz w:val="22"/>
          <w:szCs w:val="22"/>
        </w:rPr>
        <w:t xml:space="preserve">Usar las conexiones de Startup Chile con ángeles e inversionistas early-stage para primeras reuniones formales. Al menos 1 mentor con experiencia en levantamiento de capital seed en LatAm. Objetivo: 2–3 reuniones con inversionistas antes del Demo Day del programa.</w:t>
      </w:r>
    </w:p>
    <w:p>
      <w:pPr>
        <w:spacing w:after="60" w:before="0"/>
      </w:pPr>
      <w:r>
        <w:rPr>
          <w:rFonts w:ascii="Calibri" w:cs="Calibri" w:eastAsia="Calibri" w:hAnsi="Calibri"/>
          <w:b w:val="false"/>
          <w:bCs w:val="false"/>
          <w:i w:val="false"/>
          <w:iCs w:val="false"/>
          <w:color w:val="1A1A1A"/>
          <w:sz w:val="22"/>
          <w:szCs w:val="22"/>
        </w:rPr>
        <w:t xml:space="preserve"/>
      </w:r>
    </w:p>
    <w:p>
      <w:pPr>
        <w:spacing w:after="60" w:before="0"/>
      </w:pPr>
      <w:r>
        <w:rPr>
          <w:rFonts w:ascii="Calibri" w:cs="Calibri" w:eastAsia="Calibri" w:hAnsi="Calibri"/>
          <w:b/>
          <w:bCs/>
          <w:i w:val="false"/>
          <w:iCs w:val="false"/>
          <w:color w:val="1E40AF"/>
          <w:sz w:val="22"/>
          <w:szCs w:val="22"/>
        </w:rPr>
        <w:t xml:space="preserve">Entregables</w:t>
      </w:r>
    </w:p>
    <w:p>
      <w:pPr>
        <w:pStyle w:val="ListParagraph"/>
        <w:numPr>
          <w:ilvl w:val="0"/>
          <w:numId w:val="1"/>
        </w:numPr>
        <w:spacing w:after="60" w:before="0"/>
        <w:ind w:left="340"/>
      </w:pPr>
      <w:r>
        <w:rPr>
          <w:rFonts w:ascii="Calibri" w:cs="Calibri" w:eastAsia="Calibri" w:hAnsi="Calibri"/>
          <w:b w:val="false"/>
          <w:bCs w:val="false"/>
          <w:i w:val="false"/>
          <w:iCs w:val="false"/>
          <w:color w:val="1A1A1A"/>
          <w:sz w:val="22"/>
          <w:szCs w:val="22"/>
        </w:rPr>
        <w:t xml:space="preserve">Pitch deck actualizado con datos reales del programa.</w:t>
      </w:r>
    </w:p>
    <w:p>
      <w:pPr>
        <w:pStyle w:val="ListParagraph"/>
        <w:numPr>
          <w:ilvl w:val="0"/>
          <w:numId w:val="1"/>
        </w:numPr>
        <w:spacing w:after="60" w:before="0"/>
        <w:ind w:left="340"/>
      </w:pPr>
      <w:r>
        <w:rPr>
          <w:rFonts w:ascii="Calibri" w:cs="Calibri" w:eastAsia="Calibri" w:hAnsi="Calibri"/>
          <w:b w:val="false"/>
          <w:bCs w:val="false"/>
          <w:i w:val="false"/>
          <w:iCs w:val="false"/>
          <w:color w:val="1A1A1A"/>
          <w:sz w:val="22"/>
          <w:szCs w:val="22"/>
        </w:rPr>
        <w:t xml:space="preserve">Informe de cierre Ignite: métricas vs. metas definidas en T1–T4.</w:t>
      </w:r>
    </w:p>
    <w:p>
      <w:pPr>
        <w:pStyle w:val="ListParagraph"/>
        <w:numPr>
          <w:ilvl w:val="0"/>
          <w:numId w:val="1"/>
        </w:numPr>
        <w:spacing w:after="60" w:before="0"/>
        <w:ind w:left="340"/>
      </w:pPr>
      <w:r>
        <w:rPr>
          <w:rFonts w:ascii="Calibri" w:cs="Calibri" w:eastAsia="Calibri" w:hAnsi="Calibri"/>
          <w:b w:val="false"/>
          <w:bCs w:val="false"/>
          <w:i w:val="false"/>
          <w:iCs w:val="false"/>
          <w:color w:val="1A1A1A"/>
          <w:sz w:val="22"/>
          <w:szCs w:val="22"/>
        </w:rPr>
        <w:t xml:space="preserve">Pipeline de inversión documentado: contactos, estado de conversación, próximos pasos.</w:t>
      </w:r>
    </w:p>
    <w:p>
      <w:pPr>
        <w:spacing w:after="80" w:before="0"/>
      </w:pPr>
      <w:r>
        <w:rPr>
          <w:rFonts w:ascii="Calibri" w:cs="Calibri" w:eastAsia="Calibri" w:hAnsi="Calibri"/>
          <w:b w:val="false"/>
          <w:bCs w:val="false"/>
          <w:i w:val="false"/>
          <w:iCs w:val="false"/>
          <w:color w:val="1A1A1A"/>
          <w:sz w:val="22"/>
          <w:szCs w:val="22"/>
        </w:rPr>
        <w:t xml:space="preserve"/>
      </w:r>
    </w:p>
    <w:p>
      <w:pPr>
        <w:spacing w:after="40" w:before="40"/>
      </w:pPr>
      <w:r>
        <w:rPr>
          <w:rFonts w:ascii="Calibri" w:cs="Calibri" w:eastAsia="Calibri" w:hAnsi="Calibri"/>
          <w:b w:val="false"/>
          <w:bCs w:val="false"/>
          <w:i w:val="false"/>
          <w:iCs w:val="false"/>
          <w:color w:val="6B7280"/>
          <w:sz w:val="16"/>
          <w:szCs w:val="16"/>
        </w:rPr>
        <w:t xml:space="preserve">──────────────────────────────────────────────────────────────────────</w:t>
      </w:r>
    </w:p>
    <w:p>
      <w:pPr>
        <w:spacing w:after="40" w:before="40"/>
        <w:ind w:left="340"/>
      </w:pPr>
      <w:r>
        <w:rPr>
          <w:rFonts w:ascii="Calibri" w:cs="Calibri" w:eastAsia="Calibri" w:hAnsi="Calibri"/>
          <w:b w:val="false"/>
          <w:bCs w:val="false"/>
          <w:i/>
          <w:iCs/>
          <w:color w:val="6B7280"/>
          <w:sz w:val="18"/>
          <w:szCs w:val="18"/>
        </w:rPr>
        <w:t xml:space="preserve">ArchiCheck · Plan Startup Chile Ignite · Generado 17 de agosto de 2026</w:t>
      </w:r>
    </w:p>
    <w:sectPr>
      <w:pgSz w:w="11906" w:h="16838" w:orient="portrait"/>
      <w:pgMar w:top="1417" w:right="1417" w:bottom="1417"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2026-08-17T20:59:50.437Z</dcterms:created>
  <dcterms:modified xsi:type="dcterms:W3CDTF">2026-08-17T20:59:50.437Z</dcterms:modified>
</cp:coreProperties>
</file>

<file path=docProps/custom.xml><?xml version="1.0" encoding="utf-8"?>
<Properties xmlns="http://schemas.openxmlformats.org/officeDocument/2006/custom-properties" xmlns:vt="http://schemas.openxmlformats.org/officeDocument/2006/docPropsVTypes"/>
</file>