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b/>
          <w:bCs/>
          <w:color w:val="1F3A4D"/>
          <w:sz w:val="64"/>
          <w:szCs w:val="64"/>
        </w:rPr>
        <w:t xml:space="preserve">ARCHICHECK</w:t>
      </w:r>
    </w:p>
    <w:p>
      <w:pPr>
        <w:spacing w:after="40"/>
        <w:jc w:val="center"/>
      </w:pPr>
      <w:r>
        <w:rPr>
          <w:color w:val="2E6F77"/>
          <w:sz w:val="32"/>
          <w:szCs w:val="32"/>
        </w:rPr>
        <w:t xml:space="preserve">Guion de defensa — Start-Up Chile, Programa BIG</w:t>
      </w:r>
    </w:p>
    <w:p>
      <w:pPr>
        <w:spacing w:after="220"/>
        <w:jc w:val="center"/>
      </w:pPr>
      <w:r>
        <w:rPr>
          <w:b/>
          <w:bCs/>
          <w:color w:val="B8893A"/>
          <w:sz w:val="28"/>
          <w:szCs w:val="28"/>
        </w:rPr>
        <w:t xml:space="preserve">Línea Ignite</w:t>
      </w:r>
    </w:p>
    <w:p>
      <w:pPr>
        <w:spacing w:after="280"/>
        <w:jc w:val="center"/>
      </w:pPr>
      <w:r>
        <w:rPr>
          <w:b/>
          <w:bCs/>
          <w:color w:val="2E7D4F"/>
          <w:sz w:val="18"/>
          <w:szCs w:val="18"/>
        </w:rPr>
        <w:t xml:space="preserve">VERSIÓN 2 — actualizada con los datos oficiales de la aplicación BIG12 enviada a Start-Up Chile</w:t>
      </w:r>
    </w:p>
    <w:p>
      <w:pPr>
        <w:spacing w:after="60"/>
        <w:jc w:val="center"/>
      </w:pPr>
      <w:r>
        <w:rPr>
          <w:i/>
          <w:iCs/>
          <w:color w:val="5A6570"/>
          <w:sz w:val="22"/>
          <w:szCs w:val="22"/>
        </w:rPr>
        <w:t xml:space="preserve">Llamada de evaluación con evaluador BIG</w:t>
      </w:r>
    </w:p>
    <w:p>
      <w:pPr>
        <w:spacing w:after="500"/>
        <w:jc w:val="center"/>
      </w:pPr>
      <w:r>
        <w:rPr>
          <w:i/>
          <w:iCs/>
          <w:color w:val="5A6570"/>
          <w:sz w:val="22"/>
          <w:szCs w:val="22"/>
        </w:rPr>
        <w:t xml:space="preserve">Formato: conversación libre · 1 minuto reservado para demo del MVP · participan founder + co-founder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77" w:sz="4"/>
              <w:left w:val="single" w:color="2E6F77" w:sz="18"/>
              <w:bottom w:val="single" w:color="2E6F77" w:sz="4"/>
              <w:right w:val="single" w:color="2E6F77" w:sz="4"/>
            </w:tcBorders>
            <w:shd w:fill="EAF1F2" w:val="clear"/>
            <w:tcMar>
              <w:top w:type="dxa" w:w="140"/>
              <w:left w:type="dxa" w:w="200"/>
              <w:bottom w:type="dxa" w:w="140"/>
              <w:right w:type="dxa" w:w="200"/>
            </w:tcMar>
          </w:tcPr>
          <w:p>
            <w:pPr>
              <w:spacing w:after="60"/>
            </w:pPr>
            <w:r>
              <w:rPr>
                <w:b/>
                <w:bCs/>
                <w:color w:val="2E6F77"/>
              </w:rPr>
              <w:t xml:space="preserve">Qué cambió en esta versión</w:t>
            </w:r>
          </w:p>
          <w:p>
            <w:pPr>
              <w:spacing w:after="0"/>
            </w:pPr>
            <w:r>
              <w:t xml:space="preserve">El formulario oficial que enviaste a Start-Up Chile (aplicación BIG12, ID 949786) reemplaza como fuente a los documentos internos usados antes — especialmente la cifra del problema (de ~1 año a más de 800 días), el mercado (TAM/SAM/SOM nuevos, matemáticamente consistentes) y el equipo (ahora con los datos reales del Team Leader y dos co-founders con perfil de arquitecto, no uno). Este documento usa los números oficiales en todas sus secciones, y agrega una sección nueva (5) con el resumen de números para estudiar y defender.</w:t>
            </w:r>
          </w:p>
        </w:tc>
      </w:tr>
    </w:tbl>
    <w:p>
      <w:r>
        <w:br w:type="page"/>
      </w:r>
    </w:p>
    <w:p>
      <w:pPr>
        <w:pStyle w:val="Heading1"/>
        <w:pBdr>
          <w:bottom w:val="single" w:color="2E6F77" w:sz="6" w:space="4"/>
        </w:pBdr>
        <w:spacing w:after="200" w:before="360"/>
      </w:pPr>
      <w:r>
        <w:t xml:space="preserve">1. Resumen ejecutivo de la reunión</w:t>
      </w:r>
    </w:p>
    <w:p>
      <w:pPr>
        <w:spacing w:after="160"/>
      </w:pPr>
      <w:r>
        <w:t xml:space="preserve">Estás en la etapa de defensa de la postulación BIG, línea Ignite, después de pasar la primera etapa. El formato es una llamada con un evaluador, en conversación libre, con un minuto reservado para mostrar el MVP. Te acompaña uno de tus co-founders con perfil de arquitecto.</w:t>
      </w:r>
    </w:p>
    <w:p>
      <w:pPr>
        <w:spacing w:after="160"/>
      </w:pPr>
      <w:r>
        <w:t xml:space="preserve">La evaluación se basa en cuatro criterios ponderados (ver Sección 4): Team Leader y Scope in Chile pesan 30% cada uno; Problem to be Solved y Technological Base, 20% cada uno.</w:t>
      </w:r>
    </w:p>
    <w:p>
      <w:pPr>
        <w:spacing w:after="160"/>
      </w:pPr>
      <w:r>
        <w:rPr>
          <w:b/>
          <w:bCs/>
        </w:rPr>
        <w:t xml:space="preserve">El estado real del proyecto, para no perderlo de vista: </w:t>
      </w:r>
      <w:r>
        <w:t xml:space="preserve">MVP en producción, validado con un caso real (informe de 14 páginas) y con feedback de arquitectos externos, pero todavía </w:t>
      </w:r>
      <w:r>
        <w:rPr>
          <w:b/>
          <w:bCs/>
        </w:rPr>
        <w:t xml:space="preserve">sin ventas</w:t>
      </w:r>
      <w:r>
        <w:t xml:space="preserve"> — están en etapa de validación. Eso no es una debilidad a esconder: es exactamente el punto de partida que Ignite está diseñado para resolver, y la propia postulación lo declara así, con metas concretas para los 4 meses del programa: 10 estudios activos, 10 comunas de la RM incorporadas, USD 6.000 de MRR y ≥90% de precisión validada.</w:t>
      </w:r>
    </w:p>
    <w:p>
      <w:pPr>
        <w:pStyle w:val="Heading1"/>
        <w:pBdr>
          <w:bottom w:val="single" w:color="2E6F77" w:sz="6" w:space="4"/>
        </w:pBdr>
        <w:spacing w:after="200" w:before="360"/>
      </w:pPr>
      <w:r>
        <w:t xml:space="preserve">2. Contexto: Start-Up Chile y por qué Ignite es la línea correcta</w:t>
      </w:r>
    </w:p>
    <w:p>
      <w:pPr>
        <w:spacing w:after="160"/>
      </w:pPr>
      <w:r>
        <w:t xml:space="preserve">Start-Up Chile es el programa de aceleración de startups de CORFO. Su esquema principal, BIG, entrega financiamiento equity-free (no toma participación accionaria) en tres líneas según la etapa de la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392"/>
        <w:gridCol w:w="1872"/>
        <w:gridCol w:w="1224"/>
      </w:tblGrid>
      <w:tr>
        <w:trPr>
          <w:tblHeader/>
        </w:trPr>
        <w:tc>
          <w:tcPr>
            <w:tcW w:type="dxa" w:w="1872"/>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Línea</w:t>
            </w:r>
          </w:p>
        </w:tc>
        <w:tc>
          <w:tcPr>
            <w:tcW w:type="dxa" w:w="4392"/>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Etapa</w:t>
            </w:r>
          </w:p>
        </w:tc>
        <w:tc>
          <w:tcPr>
            <w:tcW w:type="dxa" w:w="1872"/>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Financiamiento</w:t>
            </w:r>
          </w:p>
        </w:tc>
        <w:tc>
          <w:tcPr>
            <w:tcW w:type="dxa" w:w="1224"/>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Duración</w:t>
            </w:r>
          </w:p>
        </w:tc>
      </w:tr>
      <w:tr>
        <w:tc>
          <w:tcPr>
            <w:tcW w:type="dxa" w:w="1872"/>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Build</w:t>
            </w:r>
          </w:p>
        </w:tc>
        <w:tc>
          <w:tcPr>
            <w:tcW w:type="dxa" w:w="4392"/>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Idea validada o prototipo inicial</w:t>
            </w:r>
          </w:p>
        </w:tc>
        <w:tc>
          <w:tcPr>
            <w:tcW w:type="dxa" w:w="1872"/>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$15.000.000 CLP</w:t>
            </w:r>
          </w:p>
        </w:tc>
        <w:tc>
          <w:tcPr>
            <w:tcW w:type="dxa" w:w="1224"/>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4 meses</w:t>
            </w:r>
          </w:p>
        </w:tc>
      </w:tr>
      <w:tr>
        <w:tc>
          <w:tcPr>
            <w:tcW w:type="dxa" w:w="1872"/>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b/>
                <w:bCs/>
                <w:color w:val="2E6F77"/>
              </w:rPr>
              <w:t xml:space="preserve">Ignite  ← postulaste aquí</w:t>
            </w:r>
          </w:p>
        </w:tc>
        <w:tc>
          <w:tcPr>
            <w:tcW w:type="dxa" w:w="4392"/>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MVP desarrollado, buscando product-market fit</w:t>
            </w:r>
          </w:p>
        </w:tc>
        <w:tc>
          <w:tcPr>
            <w:tcW w:type="dxa" w:w="1872"/>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b/>
                <w:bCs/>
              </w:rPr>
              <w:t xml:space="preserve">$30.000.000 CLP (USD 31.000)</w:t>
            </w:r>
          </w:p>
        </w:tc>
        <w:tc>
          <w:tcPr>
            <w:tcW w:type="dxa" w:w="1224"/>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4 meses</w:t>
            </w:r>
          </w:p>
        </w:tc>
      </w:tr>
      <w:tr>
        <w:tc>
          <w:tcPr>
            <w:tcW w:type="dxa" w:w="1872"/>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Growth</w:t>
            </w:r>
          </w:p>
        </w:tc>
        <w:tc>
          <w:tcPr>
            <w:tcW w:type="dxa" w:w="4392"/>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Startup con ventas y expansión</w:t>
            </w:r>
          </w:p>
        </w:tc>
        <w:tc>
          <w:tcPr>
            <w:tcW w:type="dxa" w:w="1872"/>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$75.000.000 CLP</w:t>
            </w:r>
          </w:p>
        </w:tc>
        <w:tc>
          <w:tcPr>
            <w:tcW w:type="dxa" w:w="1224"/>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6 meses</w:t>
            </w:r>
          </w:p>
        </w:tc>
      </w:tr>
    </w:tbl>
    <w:p>
      <w:pPr>
        <w:spacing w:after="120"/>
      </w:pPr>
    </w:p>
    <w:p>
      <w:pPr>
        <w:pStyle w:val="Heading2"/>
        <w:spacing w:after="140" w:before="260"/>
      </w:pPr>
      <w:r>
        <w:t xml:space="preserve">Por qué Ignite calza con la etapa real declarada en la postulación</w:t>
      </w:r>
    </w:p>
    <w:p>
      <w:pPr>
        <w:pStyle w:val="ListParagraph"/>
        <w:numPr>
          <w:ilvl w:val="0"/>
          <w:numId w:val="2"/>
        </w:numPr>
        <w:spacing w:after="90"/>
      </w:pPr>
      <w:r>
        <w:t xml:space="preserve">El MVP está en producción (archicheck-xi.vercel.app), validado con un caso real y con feedback de arquitectos externos — no es una promesa.</w:t>
      </w:r>
    </w:p>
    <w:p>
      <w:pPr>
        <w:pStyle w:val="ListParagraph"/>
        <w:numPr>
          <w:ilvl w:val="0"/>
          <w:numId w:val="2"/>
        </w:numPr>
        <w:spacing w:after="90"/>
      </w:pPr>
      <w:r>
        <w:t xml:space="preserve">La propia postulación declara que el negocio aún no tiene ventas (“estamos todavía en una etapa de MVP de validación”) — eso es, literalmente, la definición de la etapa que Ignite busca acelerar: llegar a product-market fit.</w:t>
      </w:r>
    </w:p>
    <w:p>
      <w:pPr>
        <w:pStyle w:val="ListParagraph"/>
        <w:numPr>
          <w:ilvl w:val="0"/>
          <w:numId w:val="2"/>
        </w:numPr>
        <w:spacing w:after="90"/>
      </w:pPr>
      <w:r>
        <w:t xml:space="preserve">Los objetivos declarados para el cierre del programa (10 estudios activos, USD 6.000 de MRR, validar modelo de precios y estrategia comercial) son objetivos de adopción y ventas, no de construcción de producto — coherente con Ignite y no con Build.</w:t>
      </w:r>
    </w:p>
    <w:p>
      <w:pPr>
        <w:pStyle w:val="Heading1"/>
        <w:pBdr>
          <w:bottom w:val="single" w:color="2E6F77" w:sz="6" w:space="4"/>
        </w:pBdr>
        <w:spacing w:after="200" w:before="360"/>
      </w:pPr>
      <w:r>
        <w:t xml:space="preserve">3. El minuto de MVP: guion segundo a segundo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2E" w:sz="4"/>
              <w:left w:val="single" w:color="B23A2E" w:sz="18"/>
              <w:bottom w:val="single" w:color="B23A2E" w:sz="4"/>
              <w:right w:val="single" w:color="B23A2E" w:sz="4"/>
            </w:tcBorders>
            <w:shd w:fill="FBEAEA" w:val="clear"/>
            <w:tcMar>
              <w:top w:type="dxa" w:w="140"/>
              <w:left w:type="dxa" w:w="200"/>
              <w:bottom w:type="dxa" w:w="140"/>
              <w:right w:type="dxa" w:w="200"/>
            </w:tcMar>
          </w:tcPr>
          <w:p>
            <w:pPr>
              <w:spacing w:after="60"/>
            </w:pPr>
            <w:r>
              <w:rPr>
                <w:b/>
                <w:bCs/>
                <w:color w:val="B23A2E"/>
              </w:rPr>
              <w:t xml:space="preserve">Antes de la llamada</w:t>
            </w:r>
          </w:p>
          <w:p>
            <w:pPr>
              <w:spacing w:after="0"/>
            </w:pPr>
            <w:r>
              <w:t xml:space="preserve">Pre-carga el informe del caso restaurante (Plaza Pedro de Valdivia, Providencia) en una pestaña lista para compartir pantalla. No corras el análisis en vivo. Este es el mismo caso que se cita como evidencia de tracción en la propia postulación oficial — es tu prueba más sólida.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460"/>
      </w:tblGrid>
      <w:tr>
        <w:trPr>
          <w:tblHeader/>
        </w:trPr>
        <w:tc>
          <w:tcPr>
            <w:tcW w:type="dxa" w:w="13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Tiempo</w:t>
            </w:r>
          </w:p>
        </w:tc>
        <w:tc>
          <w:tcPr>
            <w:tcW w:type="dxa" w:w="36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Qué mostrar</w:t>
            </w:r>
          </w:p>
        </w:tc>
        <w:tc>
          <w:tcPr>
            <w:tcW w:type="dxa" w:w="44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Qué decir (idea, no memorizar palabra por palabra)</w:t>
            </w:r>
          </w:p>
        </w:tc>
      </w:tr>
      <w:tr>
        <w:tc>
          <w:tcPr>
            <w:tcW w:type="dxa" w:w="13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0:00 – 0:08</w:t>
            </w:r>
          </w:p>
        </w:tc>
        <w:tc>
          <w:tcPr>
            <w:tcW w:type="dxa" w:w="3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Pantalla de inicio / landing de ArchiCheck</w:t>
            </w:r>
          </w:p>
        </w:tc>
        <w:tc>
          <w:tcPr>
            <w:tcW w:type="dxa" w:w="44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“Esto es ArchiCheck. El arquitecto sube el expediente, indica comuna y tipo de proyecto, y el sistema lo analiza contra la normativa vigente.”</w:t>
            </w:r>
          </w:p>
        </w:tc>
      </w:tr>
      <w:tr>
        <w:tc>
          <w:tcPr>
            <w:tcW w:type="dxa" w:w="13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0:08 – 0:30</w:t>
            </w:r>
          </w:p>
        </w:tc>
        <w:tc>
          <w:tcPr>
            <w:tcW w:type="dxa" w:w="3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Informe ya generado: ficha del proyecto + lista de recintos + observaciones</w:t>
            </w:r>
          </w:p>
        </w:tc>
        <w:tc>
          <w:tcPr>
            <w:tcW w:type="dxa" w:w="44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“Este es un caso real: un restaurante en Plaza Pedro de Valdivia, Providencia. El sistema detectó 15 recintos y 8 incumplimientos. El más crítico: la rampa de acceso universal tiene 10,98% de pendiente, cuando la norma exige máximo 8%.”</w:t>
            </w:r>
          </w:p>
        </w:tc>
      </w:tr>
      <w:tr>
        <w:tc>
          <w:tcPr>
            <w:tcW w:type="dxa" w:w="13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0:30 – 0:45</w:t>
            </w:r>
          </w:p>
        </w:tc>
        <w:tc>
          <w:tcPr>
            <w:tcW w:type="dxa" w:w="3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Detalle de 1-2 observaciones con artículo, valor exigido y corrección sugerida</w:t>
            </w:r>
          </w:p>
        </w:tc>
        <w:tc>
          <w:tcPr>
            <w:tcW w:type="dxa" w:w="44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“Cada hallazgo trae el artículo exacto y la corrección sugerida. Esto reemplaza lo que hoy hace un revisor independiente, que cobra desde USD 300 por expediente.”</w:t>
            </w:r>
          </w:p>
        </w:tc>
      </w:tr>
      <w:tr>
        <w:tc>
          <w:tcPr>
            <w:tcW w:type="dxa" w:w="13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0:45 – 1:00</w:t>
            </w:r>
          </w:p>
        </w:tc>
        <w:tc>
          <w:tcPr>
            <w:tcW w:type="dxa" w:w="3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Volver a vista general / cerrar</w:t>
            </w:r>
          </w:p>
        </w:tc>
        <w:tc>
          <w:tcPr>
            <w:tcW w:type="dxa" w:w="44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“Esto corre hoy en producción, está disponible 24/7 desde la etapa de anteproyecto, y ya lo validamos con arquitectos externos. El siguiente paso es exactamente lo que buscamos con Ignite: pasar de validación a los primeros clientes pagando.”</w:t>
            </w:r>
          </w:p>
        </w:tc>
      </w:tr>
    </w:tbl>
    <w:p>
      <w:pPr>
        <w:spacing w:after="120"/>
      </w:pPr>
    </w:p>
    <w:p>
      <w:pPr>
        <w:spacing w:after="160"/>
      </w:pPr>
      <w:r>
        <w:t xml:space="preserve">Ten un segundo caso de respaldo cargado en otra pestaña, por si el evaluador pide ver “otro ejemplo”.</w:t>
      </w:r>
    </w:p>
    <w:p>
      <w:pPr>
        <w:pStyle w:val="Heading1"/>
        <w:pBdr>
          <w:bottom w:val="single" w:color="2E6F77" w:sz="6" w:space="4"/>
        </w:pBdr>
        <w:spacing w:after="200" w:before="360"/>
      </w:pPr>
      <w:r>
        <w:t xml:space="preserve">4. Los cuatro criterios de evaluación</w:t>
      </w:r>
    </w:p>
    <w:p>
      <w:pPr>
        <w:spacing w:after="160"/>
      </w:pPr>
      <w:r>
        <w:t xml:space="preserve">Esta es la rúbrica oficial. En conversación libre el evaluador va a sondear estos cuatro puntos igual, solo que en el orden que se le ocurra.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Criterio</w:t>
            </w:r>
          </w:p>
        </w:tc>
        <w:tc>
          <w:tcPr>
            <w:tcW w:type="dxa" w:w="9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Peso</w:t>
            </w:r>
          </w:p>
        </w:tc>
        <w:tc>
          <w:tcPr>
            <w:tcW w:type="dxa" w:w="60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Qué evalúan exactamente</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Team Leader</w:t>
            </w:r>
          </w:p>
        </w:tc>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30%</w:t>
            </w:r>
          </w:p>
        </w:tc>
        <w:tc>
          <w:tcPr>
            <w:tcW w:type="dxa" w:w="60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Logros emprendedores demostrables, capacidades en relación al proyecto, formación académica del líder, disposición a incorporar feedback recibido.</w:t>
            </w:r>
          </w:p>
        </w:tc>
      </w:tr>
      <w:tr>
        <w:tc>
          <w:tcPr>
            <w:tcW w:type="dxa" w:w="24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Problem to be Solved</w:t>
            </w:r>
          </w:p>
        </w:tc>
        <w:tc>
          <w:tcPr>
            <w:tcW w:type="dxa" w:w="9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20%</w:t>
            </w:r>
          </w:p>
        </w:tc>
        <w:tc>
          <w:tcPr>
            <w:tcW w:type="dxa" w:w="60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Idoneidad de la descripción y comprensión del problema, causas que lo originan, coherencia de las variables cuantitativas y cualitativas.</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Technological Base</w:t>
            </w:r>
          </w:p>
        </w:tc>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20%</w:t>
            </w:r>
          </w:p>
        </w:tc>
        <w:tc>
          <w:tcPr>
            <w:tcW w:type="dxa" w:w="60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Idoneidad y suficiencia del desarrollo tecnológico para resolver el problema, que sea elemento central del modelo de negocio, prueba de concepto o demo.</w:t>
            </w:r>
          </w:p>
        </w:tc>
      </w:tr>
      <w:tr>
        <w:tc>
          <w:tcPr>
            <w:tcW w:type="dxa" w:w="24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Scope in Chile</w:t>
            </w:r>
          </w:p>
        </w:tc>
        <w:tc>
          <w:tcPr>
            <w:tcW w:type="dxa" w:w="9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30%</w:t>
            </w:r>
          </w:p>
        </w:tc>
        <w:tc>
          <w:tcPr>
            <w:tcW w:type="dxa" w:w="60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Foco del negocio en Chile, coherencia entre problema y clientes definidos, calidad de investigación y conocimiento del mercado chileno.</w:t>
            </w:r>
          </w:p>
        </w:tc>
      </w:tr>
    </w:tbl>
    <w:p>
      <w:pPr>
        <w:spacing w:after="120"/>
      </w:pPr>
    </w:p>
    <w:p>
      <w:pPr>
        <w:pStyle w:val="Heading2"/>
        <w:spacing w:after="140" w:before="260"/>
      </w:pPr>
      <w:r>
        <w:t xml:space="preserve">4.1 — Team Leader (30%)</w:t>
      </w:r>
    </w:p>
    <w:p>
      <w:pPr>
        <w:spacing w:after="160"/>
      </w:pPr>
      <w:r>
        <w:rPr>
          <w:b/>
          <w:bCs/>
        </w:rPr>
        <w:t xml:space="preserve">Nicolás Alejandro Estragues Núñez</w:t>
      </w:r>
      <w:r>
        <w:t xml:space="preserve"> — CEO y Team Leader, 100% dedicación full-time al proyecto.</w:t>
      </w:r>
    </w:p>
    <w:p>
      <w:pPr>
        <w:pStyle w:val="Heading3"/>
        <w:spacing w:after="100" w:before="200"/>
      </w:pPr>
      <w:r>
        <w:t xml:space="preserve">1. Logros emprendedores y trayectoria</w:t>
      </w:r>
    </w:p>
    <w:p>
      <w:pPr>
        <w:pStyle w:val="ListParagraph"/>
        <w:numPr>
          <w:ilvl w:val="0"/>
          <w:numId w:val="2"/>
        </w:numPr>
        <w:spacing w:after="90"/>
      </w:pPr>
      <w:r>
        <w:t xml:space="preserve">23 años de experiencia en desarrollo de productos tecnológicos, ventas y expansión de mercado en multinacionales, fintech y consultoría.</w:t>
      </w:r>
    </w:p>
    <w:p>
      <w:pPr>
        <w:pStyle w:val="ListParagraph"/>
        <w:numPr>
          <w:ilvl w:val="0"/>
          <w:numId w:val="2"/>
        </w:numPr>
        <w:spacing w:after="90"/>
      </w:pPr>
      <w:r>
        <w:t xml:space="preserve">Ha fundado empresas de consultoría en TI y pagos. En el formulario declaraste que no has fundado o co-fundado otras “startups” antes — ArchiCheck es tu primera startup propiamente dicha, aunque no tu primera empresa. Conviene tener esa distinción clara si preguntan “¿has fundado startups antes?”: la respuesta honesta es no, pero sí empresas.</w:t>
      </w:r>
    </w:p>
    <w:p>
      <w:pPr>
        <w:pStyle w:val="Heading3"/>
        <w:spacing w:after="100" w:before="200"/>
      </w:pPr>
      <w:r>
        <w:t xml:space="preserve">2. Capacidades en relación a este proyecto</w:t>
      </w:r>
    </w:p>
    <w:p>
      <w:pPr>
        <w:pStyle w:val="ListParagraph"/>
        <w:numPr>
          <w:ilvl w:val="0"/>
          <w:numId w:val="2"/>
        </w:numPr>
        <w:spacing w:after="90"/>
      </w:pPr>
      <w:r>
        <w:t xml:space="preserve">Lideraste el diseño y construcción de ArchiCheck de punta a punta, integrando visión computacional, modelos semánticos y motor normativo.</w:t>
      </w:r>
    </w:p>
    <w:p>
      <w:pPr>
        <w:pStyle w:val="ListParagraph"/>
        <w:numPr>
          <w:ilvl w:val="0"/>
          <w:numId w:val="2"/>
        </w:numPr>
        <w:spacing w:after="90"/>
      </w:pPr>
      <w:r>
        <w:t xml:space="preserve">Articulaste el equipo para el MVP incorporando a dos co-founders con perfil de arquitecto práctico — reconociendo que el motor normativo necesitaba expertise de terreno, no solo capacidad técnica.</w:t>
      </w:r>
    </w:p>
    <w:p>
      <w:pPr>
        <w:pStyle w:val="Heading3"/>
        <w:spacing w:after="100" w:before="200"/>
      </w:pPr>
      <w:r>
        <w:t xml:space="preserve">3. Formación académica</w:t>
      </w:r>
    </w:p>
    <w:p>
      <w:pPr>
        <w:pStyle w:val="ListParagraph"/>
        <w:numPr>
          <w:ilvl w:val="0"/>
          <w:numId w:val="2"/>
        </w:numPr>
        <w:spacing w:after="90"/>
      </w:pPr>
      <w:r>
        <w:t xml:space="preserve">Ingeniero Civil Industrial, Universidad de Chile. Magíster en Marketing y Gestión Comercial.</w:t>
      </w:r>
    </w:p>
    <w:p>
      <w:pPr>
        <w:pStyle w:val="Heading3"/>
        <w:spacing w:after="100" w:before="200"/>
      </w:pPr>
      <w:r>
        <w:t xml:space="preserve">4. Disposición a incorporar feedback recibido</w:t>
      </w:r>
    </w:p>
    <w:p>
      <w:pPr>
        <w:spacing w:after="160"/>
      </w:pPr>
      <w:r>
        <w:t xml:space="preserve">Esto lo puedes responder con evidencia concreta y ya declarada: el producto se iteró con feedback directo de expertos en gestión DOM y se validó el flujo completo de revisión con arquitectos externos, recogiendo su retroalimentación sobre precisión y usabilidad. Eso es exactamente lo que este criterio busca — no una intención, sino un historial de haber cambiado el producto a partir de input externo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A" w:sz="4"/>
              <w:left w:val="single" w:color="B8893A" w:sz="18"/>
              <w:bottom w:val="single" w:color="B8893A" w:sz="4"/>
              <w:right w:val="single" w:color="B8893A" w:sz="4"/>
            </w:tcBorders>
            <w:shd w:fill="FBF3E3" w:val="clear"/>
            <w:tcMar>
              <w:top w:type="dxa" w:w="140"/>
              <w:left w:type="dxa" w:w="200"/>
              <w:bottom w:type="dxa" w:w="140"/>
              <w:right w:type="dxa" w:w="200"/>
            </w:tcMar>
          </w:tcPr>
          <w:p>
            <w:pPr>
              <w:spacing w:after="60"/>
            </w:pPr>
            <w:r>
              <w:rPr>
                <w:b/>
                <w:bCs/>
                <w:color w:val="B8893A"/>
              </w:rPr>
              <w:t xml:space="preserve">Punto a tener claro: estructura de propiedad</w:t>
            </w:r>
          </w:p>
          <w:p>
            <w:pPr>
              <w:spacing w:after="0"/>
            </w:pPr>
            <w:r>
              <w:t xml:space="preserve">Declaraste que tienes el 100% de la equity individualmente, y que el equipo fundador (3 personas) controla el 100% en conjunto — la postulación no detalla cuánto tienen Cristian o José. Si te preguntan directamente cómo se reparte la propiedad entre los tres, conviene tener la respuesta real lista antes de la llamada, no improvisarla.</w:t>
            </w:r>
          </w:p>
        </w:tc>
      </w:tr>
    </w:tbl>
    <w:p>
      <w:pPr>
        <w:pStyle w:val="Heading2"/>
        <w:spacing w:after="140" w:before="260"/>
      </w:pPr>
      <w:r>
        <w:t xml:space="preserve">4.2 — Problem to be Solved (20%)</w:t>
      </w:r>
    </w:p>
    <w:p>
      <w:pPr>
        <w:spacing w:after="160"/>
      </w:pPr>
      <w:r>
        <w:t xml:space="preserve">Esta es la versión que declaraste oficialmente — </w:t>
      </w:r>
      <w:r>
        <w:rPr>
          <w:b/>
          <w:bCs/>
        </w:rPr>
        <w:t xml:space="preserve">reemplaza</w:t>
      </w:r>
      <w:r>
        <w:t xml:space="preserve"> la cifra de “~1 año, según el MINVU” que se usó en la primera versión de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77" w:sz="4"/>
              <w:left w:val="single" w:color="2E6F77" w:sz="18"/>
              <w:bottom w:val="single" w:color="2E6F77" w:sz="4"/>
              <w:right w:val="single" w:color="2E6F77" w:sz="4"/>
            </w:tcBorders>
            <w:shd w:fill="EAF1F2" w:val="clear"/>
            <w:tcMar>
              <w:top w:type="dxa" w:w="140"/>
              <w:left w:type="dxa" w:w="200"/>
              <w:bottom w:type="dxa" w:w="140"/>
              <w:right w:type="dxa" w:w="200"/>
            </w:tcMar>
          </w:tcPr>
          <w:p>
            <w:pPr>
              <w:spacing w:after="60"/>
            </w:pPr>
            <w:r>
              <w:rPr>
                <w:b/>
                <w:bCs/>
                <w:color w:val="2E6F77"/>
              </w:rPr>
              <w:t xml:space="preserve">Cifra clave actualizada — más de 800 días</w:t>
            </w:r>
          </w:p>
          <w:p>
            <w:pPr>
              <w:spacing w:after="0"/>
            </w:pPr>
            <w:r>
              <w:t xml:space="preserve">La oficina de arquitectos no puede iniciar cobros hasta la aprobación de la Dirección de Obras Municipales (DOM), y ese proceso puede durar más de 800 días. Las revisiones independientes y de la propia DOM explican más del 70% de ese tiempo — no la redacción del proyecto. Cada iteración, observación, corrección o reingreso es trabajo no remunerado para la oficina.</w:t>
            </w:r>
          </w:p>
        </w:tc>
      </w:tr>
    </w:tbl>
    <w:p>
      <w:pPr>
        <w:spacing w:after="120"/>
      </w:pPr>
    </w:p>
    <w:p>
      <w:pPr>
        <w:pStyle w:val="ListParagraph"/>
        <w:numPr>
          <w:ilvl w:val="0"/>
          <w:numId w:val="2"/>
        </w:numPr>
        <w:spacing w:after="90"/>
      </w:pPr>
      <w:r>
        <w:rPr>
          <w:b/>
          <w:bCs/>
        </w:rPr>
        <w:t xml:space="preserve">Importante: </w:t>
      </w:r>
      <w:r>
        <w:t xml:space="preserve">no hay una fuente citada explícitamente para los “800 días” dentro de la propia aplicación (a diferencia del dato anterior, que citaba al MINVU con un ejemplo concreto de 200 m² y 6.000 UF). Antes de la llamada, ten lista la explicación de dónde sale ese número — un caso real, un estudio de la industria, o una estimación propia — porque es razonable que te lo pregunten.</w:t>
      </w:r>
    </w:p>
    <w:p>
      <w:pPr>
        <w:pStyle w:val="Heading3"/>
        <w:spacing w:after="100" w:before="200"/>
      </w:pPr>
      <w:r>
        <w:t xml:space="preserve">El mercado del problema</w:t>
      </w:r>
    </w:p>
    <w:p>
      <w:pPr>
        <w:pStyle w:val="ListParagraph"/>
        <w:numPr>
          <w:ilvl w:val="0"/>
          <w:numId w:val="2"/>
        </w:numPr>
        <w:spacing w:after="90"/>
      </w:pPr>
      <w:r>
        <w:t xml:space="preserve">~3.500 oficinas de arquitectos en Chile, de todo tamaño, más arquitectos independientes.</w:t>
      </w:r>
    </w:p>
    <w:p>
      <w:pPr>
        <w:pStyle w:val="ListParagraph"/>
        <w:numPr>
          <w:ilvl w:val="0"/>
          <w:numId w:val="2"/>
        </w:numPr>
        <w:spacing w:after="90"/>
      </w:pPr>
      <w:r>
        <w:t xml:space="preserve">Procesan más de 60.000 expedientes al año.</w:t>
      </w:r>
    </w:p>
    <w:p>
      <w:pPr>
        <w:pStyle w:val="ListParagraph"/>
        <w:numPr>
          <w:ilvl w:val="0"/>
          <w:numId w:val="2"/>
        </w:numPr>
        <w:spacing w:after="90"/>
      </w:pPr>
      <w:r>
        <w:t xml:space="preserve">El mismo patrón — revisión municipal lenta y fragmentada — se repite regionalmente en Chile y Latam, lo que sostiene la tesis de expansión a Perú, Colombia y Argentina.</w:t>
      </w:r>
    </w:p>
    <w:p>
      <w:pPr>
        <w:pStyle w:val="Heading2"/>
        <w:spacing w:after="140" w:before="260"/>
      </w:pPr>
      <w:r>
        <w:t xml:space="preserve">4.3 — Technological Base (20%)</w:t>
      </w:r>
    </w:p>
    <w:p>
      <w:pPr>
        <w:spacing w:after="160"/>
      </w:pPr>
      <w:r>
        <w:t xml:space="preserve">Así describiste oficialmente la ciencia y tecnología detrás de la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Componente</w:t>
            </w:r>
          </w:p>
        </w:tc>
        <w:tc>
          <w:tcPr>
            <w:tcW w:type="dxa" w:w="55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Función</w:t>
            </w:r>
          </w:p>
        </w:tc>
      </w:tr>
      <w:tr>
        <w:tc>
          <w:tcPr>
            <w:tcW w:type="dxa" w:w="38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Vectorización (OpenCV)</w:t>
            </w:r>
          </w:p>
        </w:tc>
        <w:tc>
          <w:tcPr>
            <w:tcW w:type="dxa" w:w="55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Limpia y normaliza los planos</w:t>
            </w:r>
          </w:p>
        </w:tc>
      </w:tr>
      <w:tr>
        <w:tc>
          <w:tcPr>
            <w:tcW w:type="dxa" w:w="38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Estructura (U-Net)</w:t>
            </w:r>
          </w:p>
        </w:tc>
        <w:tc>
          <w:tcPr>
            <w:tcW w:type="dxa" w:w="55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Detecta muros, tabiques y otros elementos</w:t>
            </w:r>
          </w:p>
        </w:tc>
      </w:tr>
      <w:tr>
        <w:tc>
          <w:tcPr>
            <w:tcW w:type="dxa" w:w="38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Semántica (Grounding DINO)</w:t>
            </w:r>
          </w:p>
        </w:tc>
        <w:tc>
          <w:tcPr>
            <w:tcW w:type="dxa" w:w="55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Identifica puertas, ventanas y otros elementos</w:t>
            </w:r>
          </w:p>
        </w:tc>
      </w:tr>
      <w:tr>
        <w:tc>
          <w:tcPr>
            <w:tcW w:type="dxa" w:w="38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Segmentación de instancias (SAM 2)</w:t>
            </w:r>
          </w:p>
        </w:tc>
        <w:tc>
          <w:tcPr>
            <w:tcW w:type="dxa" w:w="55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Genera contornos precisos</w:t>
            </w:r>
          </w:p>
        </w:tc>
      </w:tr>
      <w:tr>
        <w:tc>
          <w:tcPr>
            <w:tcW w:type="dxa" w:w="38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Interpretación cognitiva (Claude + GPT-4o)</w:t>
            </w:r>
          </w:p>
        </w:tc>
        <w:tc>
          <w:tcPr>
            <w:tcW w:type="dxa" w:w="55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Lee cotas, infiere usos, detecta inconsistencias</w:t>
            </w:r>
          </w:p>
        </w:tc>
      </w:tr>
      <w:tr>
        <w:tc>
          <w:tcPr>
            <w:tcW w:type="dxa" w:w="38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Normativas (pgvector + JSON)</w:t>
            </w:r>
          </w:p>
        </w:tc>
        <w:tc>
          <w:tcPr>
            <w:tcW w:type="dxa" w:w="55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Verifica cumplimientos artículo por artículo</w:t>
            </w:r>
          </w:p>
        </w:tc>
      </w:tr>
      <w:tr>
        <w:tc>
          <w:tcPr>
            <w:tcW w:type="dxa" w:w="38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Dataset chileno (MLSTRUCT-FP)</w:t>
            </w:r>
          </w:p>
        </w:tc>
        <w:tc>
          <w:tcPr>
            <w:tcW w:type="dxa" w:w="55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954 planos en alta resolución para entrenar convenciones locales</w:t>
            </w:r>
          </w:p>
        </w:tc>
      </w:tr>
      <w:tr>
        <w:tc>
          <w:tcPr>
            <w:tcW w:type="dxa" w:w="38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Lectura de formularios (pdfplumber)</w:t>
            </w:r>
          </w:p>
        </w:tc>
        <w:tc>
          <w:tcPr>
            <w:tcW w:type="dxa" w:w="55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Extrae y valida datos de formularios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A" w:sz="4"/>
              <w:left w:val="single" w:color="B8893A" w:sz="18"/>
              <w:bottom w:val="single" w:color="B8893A" w:sz="4"/>
              <w:right w:val="single" w:color="B8893A" w:sz="4"/>
            </w:tcBorders>
            <w:shd w:fill="FBF3E3" w:val="clear"/>
            <w:tcMar>
              <w:top w:type="dxa" w:w="140"/>
              <w:left w:type="dxa" w:w="200"/>
              <w:bottom w:type="dxa" w:w="140"/>
              <w:right w:type="dxa" w:w="200"/>
            </w:tcMar>
          </w:tcPr>
          <w:p>
            <w:pPr>
              <w:spacing w:after="60"/>
            </w:pPr>
            <w:r>
              <w:rPr>
                <w:b/>
                <w:bCs/>
                <w:color w:val="B8893A"/>
              </w:rPr>
              <w:t xml:space="preserve">Importante: coherencia entre lo declarado y lo que corre hoy</w:t>
            </w:r>
          </w:p>
          <w:p>
            <w:pPr>
              <w:spacing w:after="0"/>
            </w:pPr>
            <w:r>
              <w:t xml:space="preserve">Esta es la descripción completa y oficial del stack que presentaste a Start-Up Chile. Antes de la llamada, alinea internamente qué partes corren hoy en producción de forma automática y cuáles siguen en desarrollo — versiones anteriores de la documentación interna describían varias de estas piezas (U-Net, Grounding DINO, SAM 2, pgvector) como parte del roadmap, con la medición geométrica corriendo todavía por un proceso semi-manual. Si el evaluador pregunta “¿esto corre así, automáticamente, para cualquier plano, hoy?”, la respuesta tiene que ser coherente con el estado real del producto, no solo con la descripción declarada.</w:t>
            </w:r>
          </w:p>
        </w:tc>
      </w:tr>
    </w:tbl>
    <w:p>
      <w:pPr>
        <w:spacing w:after="120"/>
      </w:pPr>
    </w:p>
    <w:p>
      <w:pPr>
        <w:pStyle w:val="Heading3"/>
        <w:spacing w:after="100" w:before="200"/>
      </w:pPr>
      <w:r>
        <w:t xml:space="preserve">Metas técnicas declaradas</w:t>
      </w:r>
    </w:p>
    <w:p>
      <w:pPr>
        <w:pStyle w:val="ListParagraph"/>
        <w:numPr>
          <w:ilvl w:val="0"/>
          <w:numId w:val="2"/>
        </w:numPr>
        <w:spacing w:after="90"/>
      </w:pPr>
      <w:r>
        <w:t xml:space="preserve">Precisión objetivo: ≥90% validada con arquitectos reales (KPI oficial del programa).</w:t>
      </w:r>
    </w:p>
    <w:p>
      <w:pPr>
        <w:pStyle w:val="ListParagraph"/>
        <w:numPr>
          <w:ilvl w:val="0"/>
          <w:numId w:val="2"/>
        </w:numPr>
        <w:spacing w:after="90"/>
      </w:pPr>
      <w:r>
        <w:t xml:space="preserve">Aspiracional a futuro: reducir tiempos de revisión hasta en un 80% y precisión consistentemente superior al 95%.</w:t>
      </w:r>
    </w:p>
    <w:p>
      <w:pPr>
        <w:pStyle w:val="ListParagraph"/>
        <w:numPr>
          <w:ilvl w:val="0"/>
          <w:numId w:val="2"/>
        </w:numPr>
        <w:spacing w:after="90"/>
      </w:pPr>
      <w:r>
        <w:t xml:space="preserve">El sistema recibe e incorpora feedback de los arquitectos para revisiones futuras (ej. “considera desde ahora este criterio”) — mejora incremental, no estático.</w:t>
      </w:r>
    </w:p>
    <w:p>
      <w:pPr>
        <w:pStyle w:val="Heading3"/>
        <w:spacing w:after="100" w:before="200"/>
      </w:pPr>
      <w:r>
        <w:t xml:space="preserve">Por qué es central al modelo de negocio</w:t>
      </w:r>
    </w:p>
    <w:p>
      <w:pPr>
        <w:spacing w:after="160"/>
      </w:pPr>
      <w:r>
        <w:t xml:space="preserve">No es solo IA: incorpora un dataset propio de más de 900 planos chilenos (MLSTRUCT-FP) que entrena al sistema en las convenciones locales — esa combinación de modelo + dato local es la base del producto, no un complemento. El caso de prueba (informe de 14 páginas sobre el restaurante de Providencia) sigue siendo tu evidencia más concreta de funcionamiento real, y está citado en la propia postulación como evidencia de tracción.</w:t>
      </w:r>
    </w:p>
    <w:p>
      <w:pPr>
        <w:pStyle w:val="Heading2"/>
        <w:spacing w:after="140" w:before="260"/>
      </w:pPr>
      <w:r>
        <w:t xml:space="preserve">4.4 — Scope in Chile (30%)</w:t>
      </w:r>
    </w:p>
    <w:p>
      <w:pPr>
        <w:spacing w:after="160"/>
      </w:pPr>
      <w:r>
        <w:t xml:space="preserve">El mercado que declaraste oficialmente </w:t>
      </w:r>
      <w:r>
        <w:rPr>
          <w:b/>
          <w:bCs/>
        </w:rPr>
        <w:t xml:space="preserve">reemplaza</w:t>
      </w:r>
      <w:r>
        <w:t xml:space="preserve"> el análisis de mercado anterior (el de tu asesor MGS). A diferencia de aquel, este nuevo modelo es matemáticamente consistente — lo puedes defender con confianza (ver el detalle completo en la Sección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760"/>
      </w:tblGrid>
      <w:tr>
        <w:trPr>
          <w:tblHeader/>
        </w:trPr>
        <w:tc>
          <w:tcPr>
            <w:tcW w:type="dxa" w:w="9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
            </w:r>
          </w:p>
        </w:tc>
        <w:tc>
          <w:tcPr>
            <w:tcW w:type="dxa" w:w="57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Cálculo declarado</w:t>
            </w:r>
          </w:p>
        </w:tc>
        <w:tc>
          <w:tcPr>
            <w:tcW w:type="dxa" w:w="27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Resultado</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TAM</w:t>
            </w:r>
          </w:p>
        </w:tc>
        <w:tc>
          <w:tcPr>
            <w:tcW w:type="dxa" w:w="5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3.500 estudios · 60.000 expedientes/año × USD 100</w:t>
            </w:r>
          </w:p>
        </w:tc>
        <w:tc>
          <w:tcPr>
            <w:tcW w:type="dxa" w:w="2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6,0M/año</w:t>
            </w:r>
          </w:p>
        </w:tc>
      </w:tr>
      <w:tr>
        <w:tc>
          <w:tcPr>
            <w:tcW w:type="dxa" w:w="9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SAM</w:t>
            </w:r>
          </w:p>
        </w:tc>
        <w:tc>
          <w:tcPr>
            <w:tcW w:type="dxa" w:w="57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80% geográfico × 80% (excluyendo obras menores) = 38.400 expedientes</w:t>
            </w:r>
          </w:p>
        </w:tc>
        <w:tc>
          <w:tcPr>
            <w:tcW w:type="dxa" w:w="2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USD 3,8M/año</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SOM</w:t>
            </w:r>
          </w:p>
        </w:tc>
        <w:tc>
          <w:tcPr>
            <w:tcW w:type="dxa" w:w="5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5% de los estudios, ~10% de los expedientes totales (6.000)</w:t>
            </w:r>
          </w:p>
        </w:tc>
        <w:tc>
          <w:tcPr>
            <w:tcW w:type="dxa" w:w="2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600K/año</w:t>
            </w:r>
          </w:p>
        </w:tc>
      </w:tr>
    </w:tbl>
    <w:p>
      <w:pPr>
        <w:spacing w:after="120"/>
      </w:pPr>
    </w:p>
    <w:p>
      <w:pPr>
        <w:pStyle w:val="Heading3"/>
        <w:spacing w:after="100" w:before="200"/>
      </w:pPr>
      <w:r>
        <w:t xml:space="preserve">Competencia (declarada oficialmente)</w:t>
      </w:r>
    </w:p>
    <w:p>
      <w:pPr>
        <w:pStyle w:val="ListParagraph"/>
        <w:numPr>
          <w:ilvl w:val="0"/>
          <w:numId w:val="2"/>
        </w:numPr>
        <w:spacing w:after="90"/>
      </w:pPr>
      <w:r>
        <w:t xml:space="preserve">Herramientas tech globales — Archistar AI PreCheck, CodeComply.ai, CivCheck, Blitz AI: sin presencia en Chile ni cruce con normativa local.</w:t>
      </w:r>
    </w:p>
    <w:p>
      <w:pPr>
        <w:pStyle w:val="ListParagraph"/>
        <w:numPr>
          <w:ilvl w:val="0"/>
          <w:numId w:val="2"/>
        </w:numPr>
        <w:spacing w:after="90"/>
      </w:pPr>
      <w:r>
        <w:t xml:space="preserve">Revisores independientes: niveles dispares de conocimiento, sujetos a disponibilidad de agenda, mayor margen de error, precios desde USD 300.</w:t>
      </w:r>
    </w:p>
    <w:p>
      <w:pPr>
        <w:pStyle w:val="ListParagraph"/>
        <w:numPr>
          <w:ilvl w:val="0"/>
          <w:numId w:val="2"/>
        </w:numPr>
        <w:spacing w:after="90"/>
      </w:pPr>
      <w:r>
        <w:t xml:space="preserve">Revi (plataforma de la CChC): checklist básico de completitud, sin análisis gráfico profundo, no entrega informes estructurados, no procesa feedback.</w:t>
      </w:r>
    </w:p>
    <w:p>
      <w:pPr>
        <w:pStyle w:val="Heading3"/>
        <w:spacing w:after="100" w:before="200"/>
      </w:pPr>
      <w:r>
        <w:t xml:space="preserve">Por qué Chile (declarado oficialmente)</w:t>
      </w:r>
    </w:p>
    <w:p>
      <w:pPr>
        <w:pStyle w:val="ListParagraph"/>
        <w:numPr>
          <w:ilvl w:val="0"/>
          <w:numId w:val="2"/>
        </w:numPr>
        <w:spacing w:after="90"/>
      </w:pPr>
      <w:r>
        <w:t xml:space="preserve">Ecosistema emprendedor maduro para crecer y expandirse local y regionalmente.</w:t>
      </w:r>
    </w:p>
    <w:p>
      <w:pPr>
        <w:pStyle w:val="ListParagraph"/>
        <w:numPr>
          <w:ilvl w:val="0"/>
          <w:numId w:val="2"/>
        </w:numPr>
        <w:spacing w:after="90"/>
      </w:pPr>
      <w:r>
        <w:t xml:space="preserve">Mercado de arquitectura concentrado y organizado — Colegio de Arquitectos y Asociación de Oficinas de Arquitectura (AOA) como canales de distribución directa.</w:t>
      </w:r>
    </w:p>
    <w:p>
      <w:pPr>
        <w:pStyle w:val="ListParagraph"/>
        <w:numPr>
          <w:ilvl w:val="0"/>
          <w:numId w:val="2"/>
        </w:numPr>
        <w:spacing w:after="90"/>
      </w:pPr>
      <w:r>
        <w:t xml:space="preserve">Marco regulatorio unificado y robusto → modelo replicable en Sudamérica.</w:t>
      </w:r>
    </w:p>
    <w:p>
      <w:pPr>
        <w:pStyle w:val="ListParagraph"/>
        <w:numPr>
          <w:ilvl w:val="0"/>
          <w:numId w:val="2"/>
        </w:numPr>
        <w:spacing w:after="90"/>
      </w:pPr>
      <w:r>
        <w:t xml:space="preserve">346 comunas con municipalidades organizadas, con acceso a fondos estatales (FIC-R, FNDR, SUBDERE) — base de la futura vía B2G.</w:t>
      </w:r>
    </w:p>
    <w:p>
      <w:pPr>
        <w:pStyle w:val="ListParagraph"/>
        <w:numPr>
          <w:ilvl w:val="0"/>
          <w:numId w:val="2"/>
        </w:numPr>
        <w:spacing w:after="90"/>
      </w:pPr>
      <w:r>
        <w:t xml:space="preserve">Dato curioso y coherente: tu oficina está en Ñuñoa — una de las dos comunas que ya tienen el PRC cargado en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2E" w:sz="4"/>
              <w:left w:val="single" w:color="B23A2E" w:sz="18"/>
              <w:bottom w:val="single" w:color="B23A2E" w:sz="4"/>
              <w:right w:val="single" w:color="B23A2E" w:sz="4"/>
            </w:tcBorders>
            <w:shd w:fill="FBEAEA" w:val="clear"/>
            <w:tcMar>
              <w:top w:type="dxa" w:w="140"/>
              <w:left w:type="dxa" w:w="200"/>
              <w:bottom w:type="dxa" w:w="140"/>
              <w:right w:type="dxa" w:w="200"/>
            </w:tcMar>
          </w:tcPr>
          <w:p>
            <w:pPr>
              <w:spacing w:after="60"/>
            </w:pPr>
            <w:r>
              <w:rPr>
                <w:b/>
                <w:bCs/>
                <w:color w:val="B23A2E"/>
              </w:rPr>
              <w:t xml:space="preserve">Punto a tener claro: “obras menores”</w:t>
            </w:r>
          </w:p>
          <w:p>
            <w:pPr>
              <w:spacing w:after="0"/>
            </w:pPr>
            <w:r>
              <w:t xml:space="preserve">El SAM excluye explícitamente “obras menores” del mercado servible. El documento original de definición del problema (de tu socio arquitecto) incluía “permisos de obra menor &lt; 100 m²” dentro del alcance inicial de producto. Si te preguntan, aclara si son categorías distintas (obra menor como vía regulatoria simplificada, versus obra menor por tamaño) o si el alcance comercial real hoy excluye ese segmento.</w:t>
            </w:r>
          </w:p>
        </w:tc>
      </w:tr>
    </w:tbl>
    <w:p>
      <w:pPr>
        <w:spacing w:after="120"/>
      </w:pPr>
    </w:p>
    <w:p>
      <w:pPr>
        <w:pStyle w:val="Heading3"/>
        <w:spacing w:after="100" w:before="200"/>
      </w:pPr>
      <w:r>
        <w:t xml:space="preserve">Go-to-market a 3 años (declarado oficialmente)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Año</w:t>
            </w:r>
          </w:p>
        </w:tc>
        <w:tc>
          <w:tcPr>
            <w:tcW w:type="dxa" w:w="47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Meta comercial</w:t>
            </w:r>
          </w:p>
        </w:tc>
        <w:tc>
          <w:tcPr>
            <w:tcW w:type="dxa" w:w="37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Meta técnica</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Año 1</w:t>
            </w:r>
          </w:p>
        </w:tc>
        <w:tc>
          <w:tcPr>
            <w:tcW w:type="dxa" w:w="4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Canal AOA y Colegio de Arquitectos activos · primeros 20 estudios con ingresos en RM y regiones principales</w:t>
            </w:r>
          </w:p>
        </w:tc>
        <w:tc>
          <w:tcPr>
            <w:tcW w:type="dxa" w:w="3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Incorporar 20 comunas de mayor volumen de permisos · validar retención y precisión</w:t>
            </w:r>
          </w:p>
        </w:tc>
      </w:tr>
      <w:tr>
        <w:tc>
          <w:tcPr>
            <w:tcW w:type="dxa" w:w="9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Año 2</w:t>
            </w:r>
          </w:p>
        </w:tc>
        <w:tc>
          <w:tcPr>
            <w:tcW w:type="dxa" w:w="47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Escalar a 70 estudios en Chile · incorporar municipalidades vía FIC-R y FNDR</w:t>
            </w:r>
          </w:p>
        </w:tc>
        <w:tc>
          <w:tcPr>
            <w:tcW w:type="dxa" w:w="3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Iniciar adaptación normativa para el primer país Latam</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Año 3</w:t>
            </w:r>
          </w:p>
        </w:tc>
        <w:tc>
          <w:tcPr>
            <w:tcW w:type="dxa" w:w="4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Inicio expansión Latam — lanzar dos países con socios locales</w:t>
            </w:r>
          </w:p>
        </w:tc>
        <w:tc>
          <w:tcPr>
            <w:tcW w:type="dxa" w:w="3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Modelo de canal replicado con colegios y asociaciones locales</w:t>
            </w:r>
          </w:p>
        </w:tc>
      </w:tr>
    </w:tbl>
    <w:p>
      <w:pPr>
        <w:spacing w:after="120"/>
      </w:pPr>
    </w:p>
    <w:p>
      <w:pPr>
        <w:spacing w:after="160"/>
      </w:pPr>
      <w:r>
        <w:t xml:space="preserve">Expansión internacional planeada: Perú, Colombia y Argentina — comparten un modelo de aprobación municipal con estructura normativa similar a Chile, y mercados de arquitectura formalizados y concentrados en sus ciudades capitales. La barrera principal es cultural, no regulatoria: un arquitecto no delega una revisión normativa a una herramienta nueva sin validación previa de pares locales — por eso el plan de entrada es siempre con un socio local (colegio de arquitectos o estudio ancla).</w:t>
      </w:r>
    </w:p>
    <w:p>
      <w:r>
        <w:br w:type="page"/>
      </w:r>
    </w:p>
    <w:p>
      <w:pPr>
        <w:pStyle w:val="Heading1"/>
        <w:pBdr>
          <w:bottom w:val="single" w:color="2E6F77" w:sz="6" w:space="4"/>
        </w:pBdr>
        <w:spacing w:after="200" w:before="360"/>
      </w:pPr>
      <w:r>
        <w:t xml:space="preserve">5. Resumen de números — para estudiar y defender</w:t>
      </w:r>
    </w:p>
    <w:p>
      <w:pPr>
        <w:spacing w:after="160"/>
      </w:pPr>
      <w:r>
        <w:t xml:space="preserve">Todos los números de esta sección vienen directamente de la aplicación oficial enviada a Start-Up Chile (BIG12, ID 949786). Donde hay algo que conviene tener explicado antes de la llamada, está marcado.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77" w:sz="4"/>
              <w:left w:val="single" w:color="2E6F77" w:sz="18"/>
              <w:bottom w:val="single" w:color="2E6F77" w:sz="4"/>
              <w:right w:val="single" w:color="2E6F77" w:sz="4"/>
            </w:tcBorders>
            <w:shd w:fill="EAF1F2" w:val="clear"/>
            <w:tcMar>
              <w:top w:type="dxa" w:w="140"/>
              <w:left w:type="dxa" w:w="200"/>
              <w:bottom w:type="dxa" w:w="140"/>
              <w:right w:type="dxa" w:w="200"/>
            </w:tcMar>
          </w:tcPr>
          <w:p>
            <w:pPr>
              <w:spacing w:after="60"/>
            </w:pPr>
            <w:r>
              <w:rPr>
                <w:b/>
                <w:bCs/>
                <w:color w:val="2E6F77"/>
              </w:rPr>
              <w:t xml:space="preserve">Veredicto general: dónde priorizar la preparación</w:t>
            </w:r>
          </w:p>
          <w:p>
            <w:pPr>
              <w:spacing w:after="0"/>
            </w:pPr>
            <w:r>
              <w:t xml:space="preserve">El mercado (30% de la nota) está bien construido y se puede defender con confianza. El riesgo real se concentra en tres cosas, en este orden: (1) no hay fuente para los +800 días — es el dato que sostiene todo el problema; (2) el LTV/CAC de 23x es una hipótesis sin clientes reales detrás, no una medición — hay que presentarlo como tal; (3) tres números (runway, MRR a 4 vs. 12 meses, y los 10 estudios) no multiplican exactamente entre sí, lo que sugiere que el modelo se armó por partes. Ninguno es descalificador, pero conviene resolver los tres antes de la llamada.</w:t>
            </w:r>
          </w:p>
        </w:tc>
      </w:tr>
    </w:tbl>
    <w:p>
      <w:pPr>
        <w:spacing w:after="120"/>
      </w:pPr>
    </w:p>
    <w:p>
      <w:pPr>
        <w:pStyle w:val="Heading2"/>
        <w:spacing w:after="140" w:before="260"/>
      </w:pPr>
      <w:r>
        <w:t xml:space="preserve">A. El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00"/>
        <w:gridCol w:w="4460"/>
      </w:tblGrid>
      <w:tr>
        <w:trPr>
          <w:tblHeader/>
        </w:trPr>
        <w:tc>
          <w:tcPr>
            <w:tcW w:type="dxa" w:w="49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Dato</w:t>
            </w:r>
          </w:p>
        </w:tc>
        <w:tc>
          <w:tcPr>
            <w:tcW w:type="dxa" w:w="44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Cifra</w:t>
            </w:r>
          </w:p>
        </w:tc>
      </w:tr>
      <w:tr>
        <w:tc>
          <w:tcPr>
            <w:tcW w:type="dxa" w:w="4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Tiempo de tramitación DOM</w:t>
            </w:r>
          </w:p>
        </w:tc>
        <w:tc>
          <w:tcPr>
            <w:tcW w:type="dxa" w:w="44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Más de 800 días (reemplaza la cifra anterior de ~1 año)</w:t>
            </w:r>
          </w:p>
        </w:tc>
      </w:tr>
      <w:tr>
        <w:tc>
          <w:tcPr>
            <w:tcW w:type="dxa" w:w="49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Parte de ese tiempo explicada por revisiones (independientes + DOM)</w:t>
            </w:r>
          </w:p>
        </w:tc>
        <w:tc>
          <w:tcPr>
            <w:tcW w:type="dxa" w:w="44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Más del 70%</w:t>
            </w:r>
          </w:p>
        </w:tc>
      </w:tr>
      <w:tr>
        <w:tc>
          <w:tcPr>
            <w:tcW w:type="dxa" w:w="4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Oficinas de arquitectos en Chile</w:t>
            </w:r>
          </w:p>
        </w:tc>
        <w:tc>
          <w:tcPr>
            <w:tcW w:type="dxa" w:w="44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~3.500 (todo tamaño) + arquitectos independientes</w:t>
            </w:r>
          </w:p>
        </w:tc>
      </w:tr>
      <w:tr>
        <w:tc>
          <w:tcPr>
            <w:tcW w:type="dxa" w:w="49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Expedientes procesados al año</w:t>
            </w:r>
          </w:p>
        </w:tc>
        <w:tc>
          <w:tcPr>
            <w:tcW w:type="dxa" w:w="44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Más de 60.000</w:t>
            </w:r>
          </w:p>
        </w:tc>
      </w:tr>
      <w:tr>
        <w:tc>
          <w:tcPr>
            <w:tcW w:type="dxa" w:w="4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Patrón regional</w:t>
            </w:r>
          </w:p>
        </w:tc>
        <w:tc>
          <w:tcPr>
            <w:tcW w:type="dxa" w:w="44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Se repite en Chile y Latam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A" w:sz="4"/>
              <w:left w:val="single" w:color="B8893A" w:sz="18"/>
              <w:bottom w:val="single" w:color="B8893A" w:sz="4"/>
              <w:right w:val="single" w:color="B8893A" w:sz="4"/>
            </w:tcBorders>
            <w:shd w:fill="FBF3E3" w:val="clear"/>
            <w:tcMar>
              <w:top w:type="dxa" w:w="140"/>
              <w:left w:type="dxa" w:w="200"/>
              <w:bottom w:type="dxa" w:w="140"/>
              <w:right w:type="dxa" w:w="200"/>
            </w:tcMar>
          </w:tcPr>
          <w:p>
            <w:pPr>
              <w:spacing w:after="60"/>
            </w:pPr>
            <w:r>
              <w:rPr>
                <w:b/>
                <w:bCs/>
                <w:color w:val="B8893A"/>
              </w:rPr>
              <w:t xml:space="preserve">A verificar</w:t>
            </w:r>
          </w:p>
          <w:p>
            <w:pPr>
              <w:spacing w:after="0"/>
            </w:pPr>
            <w:r>
              <w:t xml:space="preserve">No hay una fuente citada para los “800 días” dentro de la aplicación. Ten lista la explicación de dónde sale el número.</w:t>
            </w:r>
          </w:p>
        </w:tc>
      </w:tr>
    </w:tbl>
    <w:p>
      <w:pPr>
        <w:spacing w:after="120"/>
      </w:pPr>
    </w:p>
    <w:p>
      <w:pPr>
        <w:pStyle w:val="Heading2"/>
        <w:spacing w:after="140" w:before="260"/>
      </w:pPr>
      <w:r>
        <w:t xml:space="preserve">B. Mercado — TAM / SAM / SOM</w:t>
      </w:r>
    </w:p>
    <w:p>
      <w:pPr>
        <w:spacing w:after="160"/>
      </w:pPr>
      <w:r>
        <w:t xml:space="preserve">A diferencia del análisis anterior (del asesor MGS, donde el SAM superaba al TAM), este modelo es internamente consistente: TAM &gt; SAM &gt; SOM, y usa el mismo precio base (USD 100 por análisis) en todas las proyecciones — mercado, MRR y LTV.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900"/>
        <w:gridCol w:w="1660"/>
      </w:tblGrid>
      <w:tr>
        <w:trPr>
          <w:tblHeader/>
        </w:trPr>
        <w:tc>
          <w:tcPr>
            <w:tcW w:type="dxa" w:w="9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Nivel</w:t>
            </w:r>
          </w:p>
        </w:tc>
        <w:tc>
          <w:tcPr>
            <w:tcW w:type="dxa" w:w="49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Cómo se calculó</w:t>
            </w:r>
          </w:p>
        </w:tc>
        <w:tc>
          <w:tcPr>
            <w:tcW w:type="dxa" w:w="19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Resultado</w:t>
            </w:r>
          </w:p>
        </w:tc>
        <w:tc>
          <w:tcPr>
            <w:tcW w:type="dxa" w:w="16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 del nivel anterior</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TAM</w:t>
            </w:r>
          </w:p>
        </w:tc>
        <w:tc>
          <w:tcPr>
            <w:tcW w:type="dxa" w:w="4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3.500 estudios → 60.000 expedientes/año × USD 100</w:t>
            </w:r>
          </w:p>
        </w:tc>
        <w:tc>
          <w:tcPr>
            <w:tcW w:type="dxa" w:w="1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6,0M/año</w:t>
            </w:r>
          </w:p>
        </w:tc>
        <w:tc>
          <w:tcPr>
            <w:tcW w:type="dxa" w:w="16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w:t>
            </w:r>
          </w:p>
        </w:tc>
      </w:tr>
      <w:tr>
        <w:tc>
          <w:tcPr>
            <w:tcW w:type="dxa" w:w="9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SAM</w:t>
            </w:r>
          </w:p>
        </w:tc>
        <w:tc>
          <w:tcPr>
            <w:tcW w:type="dxa" w:w="49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80% geográfico × 80% (excluye obras menores) = 38.400 expedientes × USD 100</w:t>
            </w:r>
          </w:p>
        </w:tc>
        <w:tc>
          <w:tcPr>
            <w:tcW w:type="dxa" w:w="19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USD 3,8M/año</w:t>
            </w:r>
          </w:p>
        </w:tc>
        <w:tc>
          <w:tcPr>
            <w:tcW w:type="dxa" w:w="16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64% del TAM</w:t>
            </w:r>
          </w:p>
        </w:tc>
      </w:tr>
      <w:tr>
        <w:tc>
          <w:tcPr>
            <w:tcW w:type="dxa" w:w="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SOM</w:t>
            </w:r>
          </w:p>
        </w:tc>
        <w:tc>
          <w:tcPr>
            <w:tcW w:type="dxa" w:w="4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5% de los estudios capturando ~10% de los expedientes totales (6.000) × USD 100</w:t>
            </w:r>
          </w:p>
        </w:tc>
        <w:tc>
          <w:tcPr>
            <w:tcW w:type="dxa" w:w="1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600K/año</w:t>
            </w:r>
          </w:p>
        </w:tc>
        <w:tc>
          <w:tcPr>
            <w:tcW w:type="dxa" w:w="16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15% del SAM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F" w:sz="4"/>
              <w:left w:val="single" w:color="2E7D4F" w:sz="18"/>
              <w:bottom w:val="single" w:color="2E7D4F" w:sz="4"/>
              <w:right w:val="single" w:color="2E7D4F" w:sz="4"/>
            </w:tcBorders>
            <w:shd w:fill="EAF5EE" w:val="clear"/>
            <w:tcMar>
              <w:top w:type="dxa" w:w="140"/>
              <w:left w:type="dxa" w:w="200"/>
              <w:bottom w:type="dxa" w:w="140"/>
              <w:right w:type="dxa" w:w="200"/>
            </w:tcMar>
          </w:tcPr>
          <w:p>
            <w:pPr>
              <w:spacing w:after="60"/>
            </w:pPr>
            <w:r>
              <w:rPr>
                <w:b/>
                <w:bCs/>
                <w:color w:val="2E7D4F"/>
              </w:rPr>
              <w:t xml:space="preserve">Buena noticia</w:t>
            </w:r>
          </w:p>
          <w:p>
            <w:pPr>
              <w:spacing w:after="0"/>
            </w:pPr>
            <w:r>
              <w:t xml:space="preserve">La matemática cuadra: 60.000 × 0,8 × 0,8 = 38.400 ✓ · 38.400 × USD100 = USD3,84M ≈ USD3,8M ✓ · 6.000 × USD100 = USD600K ✓. A diferencia del modelo anterior, este lo puedes defender con confianza sin hacer cuentas en el aire durante la llamada.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A" w:sz="4"/>
              <w:left w:val="single" w:color="B8893A" w:sz="18"/>
              <w:bottom w:val="single" w:color="B8893A" w:sz="4"/>
              <w:right w:val="single" w:color="B8893A" w:sz="4"/>
            </w:tcBorders>
            <w:shd w:fill="FBF3E3" w:val="clear"/>
            <w:tcMar>
              <w:top w:type="dxa" w:w="140"/>
              <w:left w:type="dxa" w:w="200"/>
              <w:bottom w:type="dxa" w:w="140"/>
              <w:right w:type="dxa" w:w="200"/>
            </w:tcMar>
          </w:tcPr>
          <w:p>
            <w:pPr>
              <w:spacing w:after="60"/>
            </w:pPr>
            <w:r>
              <w:rPr>
                <w:b/>
                <w:bCs/>
                <w:color w:val="B8893A"/>
              </w:rPr>
              <w:t xml:space="preserve">A verificar: “expedientes” vs. “permisos”</w:t>
            </w:r>
          </w:p>
          <w:p>
            <w:pPr>
              <w:spacing w:after="0"/>
            </w:pPr>
            <w:r>
              <w:t xml:space="preserve">El modelo usa ambos términos de forma intercambiable. Si preguntan, la base real del cálculo son expedientes ingresados o tramitados, no necesariamente permisos aprobados — son cosas distintas (no todo expediente termina en permiso otorgado).</w:t>
            </w:r>
          </w:p>
        </w:tc>
      </w:tr>
    </w:tbl>
    <w:p>
      <w:pPr>
        <w:spacing w:after="120"/>
      </w:pPr>
    </w:p>
    <w:p>
      <w:pPr>
        <w:pStyle w:val="Heading2"/>
        <w:spacing w:after="140" w:before="260"/>
      </w:pPr>
      <w:r>
        <w:t xml:space="preserve">C.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Métrica</w:t>
            </w:r>
          </w:p>
        </w:tc>
        <w:tc>
          <w:tcPr>
            <w:tcW w:type="dxa" w:w="22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Valor</w:t>
            </w:r>
          </w:p>
        </w:tc>
        <w:tc>
          <w:tcPr>
            <w:tcW w:type="dxa" w:w="45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Cómo se calcula</w:t>
            </w:r>
          </w:p>
        </w:tc>
      </w:tr>
      <w:tr>
        <w:tc>
          <w:tcPr>
            <w:tcW w:type="dxa" w:w="2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Precio base</w:t>
            </w:r>
          </w:p>
        </w:tc>
        <w:tc>
          <w:tcPr>
            <w:tcW w:type="dxa" w:w="2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100 por expediente/análisis</w:t>
            </w:r>
          </w:p>
        </w:tc>
        <w:tc>
          <w:tcPr>
            <w:tcW w:type="dxa" w:w="45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Usado en TAM, SAM, SOM, MRR y LTV — consistente en todo el modelo</w:t>
            </w:r>
          </w:p>
        </w:tc>
      </w:tr>
      <w:tr>
        <w:tc>
          <w:tcPr>
            <w:tcW w:type="dxa" w:w="2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Uso promedio por estudio</w:t>
            </w:r>
          </w:p>
        </w:tc>
        <w:tc>
          <w:tcPr>
            <w:tcW w:type="dxa" w:w="22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3,5 expedientes/mes ≈ USD 350/mes</w:t>
            </w:r>
          </w:p>
        </w:tc>
        <w:tc>
          <w:tcPr>
            <w:tcW w:type="dxa" w:w="45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Insumo directo del cálculo de LTV</w:t>
            </w:r>
          </w:p>
        </w:tc>
      </w:tr>
      <w:tr>
        <w:tc>
          <w:tcPr>
            <w:tcW w:type="dxa" w:w="2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LTV</w:t>
            </w:r>
          </w:p>
        </w:tc>
        <w:tc>
          <w:tcPr>
            <w:tcW w:type="dxa" w:w="2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7.000 por estudio</w:t>
            </w:r>
          </w:p>
        </w:tc>
        <w:tc>
          <w:tcPr>
            <w:tcW w:type="dxa" w:w="45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350/mes ÷ 5% de churn mensual</w:t>
            </w:r>
          </w:p>
        </w:tc>
      </w:tr>
      <w:tr>
        <w:tc>
          <w:tcPr>
            <w:tcW w:type="dxa" w:w="2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CAC</w:t>
            </w:r>
          </w:p>
        </w:tc>
        <w:tc>
          <w:tcPr>
            <w:tcW w:type="dxa" w:w="22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USD 300 por estudio</w:t>
            </w:r>
          </w:p>
        </w:tc>
        <w:tc>
          <w:tcPr>
            <w:tcW w:type="dxa" w:w="45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Declarado, sin desglose en la aplicación</w:t>
            </w:r>
          </w:p>
        </w:tc>
      </w:tr>
      <w:tr>
        <w:tc>
          <w:tcPr>
            <w:tcW w:type="dxa" w:w="2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LTV/CAC</w:t>
            </w:r>
          </w:p>
        </w:tc>
        <w:tc>
          <w:tcPr>
            <w:tcW w:type="dxa" w:w="2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23x</w:t>
            </w:r>
          </w:p>
        </w:tc>
        <w:tc>
          <w:tcPr>
            <w:tcW w:type="dxa" w:w="45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7.000 ÷ USD 300</w:t>
            </w:r>
          </w:p>
        </w:tc>
      </w:tr>
      <w:tr>
        <w:tc>
          <w:tcPr>
            <w:tcW w:type="dxa" w:w="2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MRR mes 12 (modelo anual)</w:t>
            </w:r>
          </w:p>
        </w:tc>
        <w:tc>
          <w:tcPr>
            <w:tcW w:type="dxa" w:w="22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USD 15.750</w:t>
            </w:r>
          </w:p>
        </w:tc>
        <w:tc>
          <w:tcPr>
            <w:tcW w:type="dxa" w:w="45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45 estudios × 3,5 expedientes × USD 100</w:t>
            </w:r>
          </w:p>
        </w:tc>
      </w:tr>
      <w:tr>
        <w:tc>
          <w:tcPr>
            <w:tcW w:type="dxa" w:w="2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ARR año 1</w:t>
            </w:r>
          </w:p>
        </w:tc>
        <w:tc>
          <w:tcPr>
            <w:tcW w:type="dxa" w:w="2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94.500</w:t>
            </w:r>
          </w:p>
        </w:tc>
        <w:tc>
          <w:tcPr>
            <w:tcW w:type="dxa" w:w="45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Ramp lineal desde 0 hasta el MRR de mes 12</w:t>
            </w:r>
          </w:p>
        </w:tc>
      </w:tr>
      <w:tr>
        <w:tc>
          <w:tcPr>
            <w:tcW w:type="dxa" w:w="2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Burn rate</w:t>
            </w:r>
          </w:p>
        </w:tc>
        <w:tc>
          <w:tcPr>
            <w:tcW w:type="dxa" w:w="22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USD 5.000/mes</w:t>
            </w:r>
          </w:p>
        </w:tc>
        <w:tc>
          <w:tcPr>
            <w:tcW w:type="dxa" w:w="45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Declarado</w:t>
            </w:r>
          </w:p>
        </w:tc>
      </w:tr>
      <w:tr>
        <w:tc>
          <w:tcPr>
            <w:tcW w:type="dxa" w:w="2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Capital inicial</w:t>
            </w:r>
          </w:p>
        </w:tc>
        <w:tc>
          <w:tcPr>
            <w:tcW w:type="dxa" w:w="2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 USD 41.000</w:t>
            </w:r>
          </w:p>
        </w:tc>
        <w:tc>
          <w:tcPr>
            <w:tcW w:type="dxa" w:w="45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33K (grant Start-Up Chile) + USD 8K (ángel)</w:t>
            </w:r>
          </w:p>
        </w:tc>
      </w:tr>
      <w:tr>
        <w:tc>
          <w:tcPr>
            <w:tcW w:type="dxa" w:w="2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Runway declarado</w:t>
            </w:r>
          </w:p>
        </w:tc>
        <w:tc>
          <w:tcPr>
            <w:tcW w:type="dxa" w:w="22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6 meses</w:t>
            </w:r>
          </w:p>
        </w:tc>
        <w:tc>
          <w:tcPr>
            <w:tcW w:type="dxa" w:w="45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Ver nota abajo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2E" w:sz="4"/>
              <w:left w:val="single" w:color="B23A2E" w:sz="18"/>
              <w:bottom w:val="single" w:color="B23A2E" w:sz="4"/>
              <w:right w:val="single" w:color="B23A2E" w:sz="4"/>
            </w:tcBorders>
            <w:shd w:fill="FBEAEA" w:val="clear"/>
            <w:tcMar>
              <w:top w:type="dxa" w:w="140"/>
              <w:left w:type="dxa" w:w="200"/>
              <w:bottom w:type="dxa" w:w="140"/>
              <w:right w:type="dxa" w:w="200"/>
            </w:tcMar>
          </w:tcPr>
          <w:p>
            <w:pPr>
              <w:spacing w:after="60"/>
            </w:pPr>
            <w:r>
              <w:rPr>
                <w:b/>
                <w:bCs/>
                <w:color w:val="B23A2E"/>
              </w:rPr>
              <w:t xml:space="preserve">A verificar — el más importante: LTV/CAC (23x)</w:t>
            </w:r>
          </w:p>
          <w:p>
            <w:pPr>
              <w:spacing w:after="0"/>
            </w:pPr>
            <w:r>
              <w:t xml:space="preserve">No está mal calculado, pero es una proyección, no una medición: con cero clientes hoy, el churn de 5% y el CAC de USD300 todavía no se han observado. Un ratio de 23x es muy superior a la referencia típica de SaaS (~3x). Preséntalo como hipótesis de trabajo a validar durante el programa, no como un hecho — es justamente lo que Ignite existe para comprobar, y enmarcarlo así suma al criterio de Team Leader (madurez y honestidad), no resta.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2E" w:sz="4"/>
              <w:left w:val="single" w:color="B23A2E" w:sz="18"/>
              <w:bottom w:val="single" w:color="B23A2E" w:sz="4"/>
              <w:right w:val="single" w:color="B23A2E" w:sz="4"/>
            </w:tcBorders>
            <w:shd w:fill="FBEAEA" w:val="clear"/>
            <w:tcMar>
              <w:top w:type="dxa" w:w="140"/>
              <w:left w:type="dxa" w:w="200"/>
              <w:bottom w:type="dxa" w:w="140"/>
              <w:right w:type="dxa" w:w="200"/>
            </w:tcMar>
          </w:tcPr>
          <w:p>
            <w:pPr>
              <w:spacing w:after="60"/>
            </w:pPr>
            <w:r>
              <w:rPr>
                <w:b/>
                <w:bCs/>
                <w:color w:val="B23A2E"/>
              </w:rPr>
              <w:t xml:space="preserve">A verificar: runway</w:t>
            </w:r>
          </w:p>
          <w:p>
            <w:pPr>
              <w:spacing w:after="0"/>
            </w:pPr>
            <w:r>
              <w:t xml:space="preserve">USD 41.000 de capital inicial ÷ USD 5.000/mes de burn = ≈ 8,2 meses, no 6. Ten lista la explicación de la diferencia (por ejemplo, si parte del capital tiene un uso no operacional, o si el burn rate sube con el tiempo) — es una cuenta de 10 segundos que cualquier evaluador puede hacer.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2E" w:sz="4"/>
              <w:left w:val="single" w:color="B23A2E" w:sz="18"/>
              <w:bottom w:val="single" w:color="B23A2E" w:sz="4"/>
              <w:right w:val="single" w:color="B23A2E" w:sz="4"/>
            </w:tcBorders>
            <w:shd w:fill="FBEAEA" w:val="clear"/>
            <w:tcMar>
              <w:top w:type="dxa" w:w="140"/>
              <w:left w:type="dxa" w:w="200"/>
              <w:bottom w:type="dxa" w:w="140"/>
              <w:right w:type="dxa" w:w="200"/>
            </w:tcMar>
          </w:tcPr>
          <w:p>
            <w:pPr>
              <w:spacing w:after="60"/>
            </w:pPr>
            <w:r>
              <w:rPr>
                <w:b/>
                <w:bCs/>
                <w:color w:val="B23A2E"/>
              </w:rPr>
              <w:t xml:space="preserve">A verificar: dos cifras de MRR distintas, en dos horizontes distintos</w:t>
            </w:r>
          </w:p>
          <w:p>
            <w:pPr>
              <w:spacing w:after="0"/>
            </w:pPr>
            <w:r>
              <w:t xml:space="preserve">El objetivo declarado al cierre del programa Ignite (4 meses) es USD 6.000 de MRR con 10 estudios activos — eso implica ≈ USD 600 por estudio al mes. El modelo unitario anual usa USD 350 por estudio al mes (3,5 expedientes × USD100) y llega a USD 15.750 de MRR recién en el mes 12. No son contradictorios — son metas en momentos distintos — pero conviene tener clara la diferencia para no mezclar las dos cifras si te preguntan “¿cuál es su meta de MRR?”. Si preguntan específicamente cómo llegan a USD 600/estudio con solo 10 estudios (más alto que el promedio de USD 350), ten lista la explicación (mayor frecuencia de uso esperada en los primeros clientes, mix de planes, etc.).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A" w:sz="4"/>
              <w:left w:val="single" w:color="B8893A" w:sz="18"/>
              <w:bottom w:val="single" w:color="B8893A" w:sz="4"/>
              <w:right w:val="single" w:color="B8893A" w:sz="4"/>
            </w:tcBorders>
            <w:shd w:fill="FBF3E3" w:val="clear"/>
            <w:tcMar>
              <w:top w:type="dxa" w:w="140"/>
              <w:left w:type="dxa" w:w="200"/>
              <w:bottom w:type="dxa" w:w="140"/>
              <w:right w:type="dxa" w:w="200"/>
            </w:tcMar>
          </w:tcPr>
          <w:p>
            <w:pPr>
              <w:spacing w:after="60"/>
            </w:pPr>
            <w:r>
              <w:rPr>
                <w:b/>
                <w:bCs/>
                <w:color w:val="B8893A"/>
              </w:rPr>
              <w:t xml:space="preserve">El patrón detrás de estos tres puntos</w:t>
            </w:r>
          </w:p>
          <w:p>
            <w:pPr>
              <w:spacing w:after="0"/>
            </w:pPr>
            <w:r>
              <w:t xml:space="preserve">Runway, los dos MRR, y los 10 estudios comparten la misma raíz: son números que deberían multiplicarse entre sí y no calzan exactamente — señal de que el modelo financiero se armó por partes, para ilustrar cosas distintas en momentos distintos, y no desde una sola planilla maestra. Vale la pena que alguien del equipo dedique 15 minutos a reconciliar estas tres cuentas en un solo lugar antes de la llamada, en vez de memorizar cada explicación por separado — si el evaluador encuentra dos de estas en la misma conversación, empieza a sospechar que hay más por debajo.</w:t>
            </w:r>
          </w:p>
        </w:tc>
      </w:tr>
    </w:tbl>
    <w:p>
      <w:pPr>
        <w:spacing w:after="120"/>
      </w:pPr>
    </w:p>
    <w:p>
      <w:pPr>
        <w:pStyle w:val="Heading2"/>
        <w:spacing w:after="140" w:before="260"/>
      </w:pPr>
      <w:r>
        <w:t xml:space="preserve">D. Metas y KPIs del programa (Ignite, 4 meses)</w:t>
      </w:r>
    </w:p>
    <w:p>
      <w:pPr>
        <w:pStyle w:val="ListParagraph"/>
        <w:numPr>
          <w:ilvl w:val="0"/>
          <w:numId w:val="2"/>
        </w:numPr>
        <w:spacing w:after="90"/>
      </w:pPr>
      <w:r>
        <w:t xml:space="preserve">10 estudios de arquitectura activos.</w:t>
      </w:r>
    </w:p>
    <w:p>
      <w:pPr>
        <w:pStyle w:val="ListParagraph"/>
        <w:numPr>
          <w:ilvl w:val="0"/>
          <w:numId w:val="2"/>
        </w:numPr>
        <w:spacing w:after="90"/>
      </w:pPr>
      <w:r>
        <w:t xml:space="preserve">10 comunas de la Región Metropolitana incorporadas al motor normativo.</w:t>
      </w:r>
    </w:p>
    <w:p>
      <w:pPr>
        <w:pStyle w:val="ListParagraph"/>
        <w:numPr>
          <w:ilvl w:val="0"/>
          <w:numId w:val="2"/>
        </w:numPr>
        <w:spacing w:after="90"/>
      </w:pPr>
      <w:r>
        <w:t xml:space="preserve">MRR de USD 6.000 al cierre del programa.</w:t>
      </w:r>
    </w:p>
    <w:p>
      <w:pPr>
        <w:pStyle w:val="ListParagraph"/>
        <w:numPr>
          <w:ilvl w:val="0"/>
          <w:numId w:val="2"/>
        </w:numPr>
        <w:spacing w:after="90"/>
      </w:pPr>
      <w:r>
        <w:t xml:space="preserve">Precisión de análisis ≥90% validada con arquitectos reales.</w:t>
      </w:r>
    </w:p>
    <w:p>
      <w:pPr>
        <w:pStyle w:val="ListParagraph"/>
        <w:numPr>
          <w:ilvl w:val="0"/>
          <w:numId w:val="2"/>
        </w:numPr>
        <w:spacing w:after="90"/>
      </w:pPr>
      <w:r>
        <w:t xml:space="preserve">Cerrar los primeros estudios pagados y validar el modelo de precios por complejidad de expediente.</w:t>
      </w:r>
    </w:p>
    <w:p>
      <w:pPr>
        <w:pStyle w:val="Heading2"/>
        <w:spacing w:after="140" w:before="260"/>
      </w:pPr>
      <w:r>
        <w:t xml:space="preserve">E. Financiamiento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460"/>
      </w:tblGrid>
      <w:tr>
        <w:trPr>
          <w:tblHeader/>
        </w:trPr>
        <w:tc>
          <w:tcPr>
            <w:tcW w:type="dxa" w:w="32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Fuente</w:t>
            </w:r>
          </w:p>
        </w:tc>
        <w:tc>
          <w:tcPr>
            <w:tcW w:type="dxa" w:w="27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Monto</w:t>
            </w:r>
          </w:p>
        </w:tc>
        <w:tc>
          <w:tcPr>
            <w:tcW w:type="dxa" w:w="34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Estado</w:t>
            </w:r>
          </w:p>
        </w:tc>
      </w:tr>
      <w:tr>
        <w:tc>
          <w:tcPr>
            <w:tcW w:type="dxa" w:w="3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Start-Up Chile (grant equity-free)</w:t>
            </w:r>
          </w:p>
        </w:tc>
        <w:tc>
          <w:tcPr>
            <w:tcW w:type="dxa" w:w="2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31.000 (CLP 30MM)</w:t>
            </w:r>
          </w:p>
        </w:tc>
        <w:tc>
          <w:tcPr>
            <w:tcW w:type="dxa" w:w="34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Postulado — pendiente de resultado</w:t>
            </w:r>
          </w:p>
        </w:tc>
      </w:tr>
      <w:tr>
        <w:tc>
          <w:tcPr>
            <w:tcW w:type="dxa" w:w="32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Inversionista ángel (co-financiamiento)</w:t>
            </w:r>
          </w:p>
        </w:tc>
        <w:tc>
          <w:tcPr>
            <w:tcW w:type="dxa" w:w="27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USD 8.000</w:t>
            </w:r>
          </w:p>
        </w:tc>
        <w:tc>
          <w:tcPr>
            <w:tcW w:type="dxa" w:w="34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En conversación activa — no cerrado</w:t>
            </w:r>
          </w:p>
        </w:tc>
      </w:tr>
      <w:tr>
        <w:tc>
          <w:tcPr>
            <w:tcW w:type="dxa" w:w="3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Capital, deuda o valorización previa</w:t>
            </w:r>
          </w:p>
        </w:tc>
        <w:tc>
          <w:tcPr>
            <w:tcW w:type="dxa" w:w="27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w:t>
            </w:r>
          </w:p>
        </w:tc>
        <w:tc>
          <w:tcPr>
            <w:tcW w:type="dxa" w:w="34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Ninguno: sin deuda, sin valorización formal, sin capital levantado antes, sin financiamiento CORFO previo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A" w:sz="4"/>
              <w:left w:val="single" w:color="B8893A" w:sz="18"/>
              <w:bottom w:val="single" w:color="B8893A" w:sz="4"/>
              <w:right w:val="single" w:color="B8893A" w:sz="4"/>
            </w:tcBorders>
            <w:shd w:fill="FBF3E3" w:val="clear"/>
            <w:tcMar>
              <w:top w:type="dxa" w:w="140"/>
              <w:left w:type="dxa" w:w="200"/>
              <w:bottom w:type="dxa" w:w="140"/>
              <w:right w:type="dxa" w:w="200"/>
            </w:tcMar>
          </w:tcPr>
          <w:p>
            <w:pPr>
              <w:spacing w:after="60"/>
            </w:pPr>
            <w:r>
              <w:rPr>
                <w:b/>
                <w:bCs/>
                <w:color w:val="B8893A"/>
              </w:rPr>
              <w:t xml:space="preserve">A verificar</w:t>
            </w:r>
          </w:p>
          <w:p>
            <w:pPr>
              <w:spacing w:after="0"/>
            </w:pPr>
            <w:r>
              <w:t xml:space="preserve">Si preguntan directamente, el aporte ángel de USD 8.000 todavía está en conversación, no cerrado — mejor decirlo así que dar la impresión de que ya está asegurado.</w:t>
            </w:r>
          </w:p>
        </w:tc>
      </w:tr>
    </w:tbl>
    <w:p>
      <w:pPr>
        <w:spacing w:after="120"/>
      </w:pPr>
    </w:p>
    <w:p>
      <w:pPr>
        <w:pStyle w:val="Heading2"/>
        <w:spacing w:after="140" w:before="260"/>
      </w:pPr>
      <w:r>
        <w:t xml:space="preserve">F.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Persona</w:t>
            </w:r>
          </w:p>
        </w:tc>
        <w:tc>
          <w:tcPr>
            <w:tcW w:type="dxa" w:w="15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Rol</w:t>
            </w:r>
          </w:p>
        </w:tc>
        <w:tc>
          <w:tcPr>
            <w:tcW w:type="dxa" w:w="59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Perfil</w:t>
            </w:r>
          </w:p>
        </w:tc>
      </w:tr>
      <w:tr>
        <w:tc>
          <w:tcPr>
            <w:tcW w:type="dxa" w:w="1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Nicolás Estragues</w:t>
            </w:r>
          </w:p>
        </w:tc>
        <w:tc>
          <w:tcPr>
            <w:tcW w:type="dxa" w:w="15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CEO / Team Leader</w:t>
            </w:r>
          </w:p>
        </w:tc>
        <w:tc>
          <w:tcPr>
            <w:tcW w:type="dxa" w:w="59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Ing. Civil Industrial (U. de Chile) + Magíster en Marketing y Gestión Comercial · 23 años de experiencia · 100% full-time · 100% de la equity individual declarada</w:t>
            </w:r>
          </w:p>
        </w:tc>
      </w:tr>
      <w:tr>
        <w:tc>
          <w:tcPr>
            <w:tcW w:type="dxa" w:w="19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Cristian Wrbka</w:t>
            </w:r>
          </w:p>
        </w:tc>
        <w:tc>
          <w:tcPr>
            <w:tcW w:type="dxa" w:w="15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Industry Expert</w:t>
            </w:r>
          </w:p>
        </w:tc>
        <w:tc>
          <w:tcPr>
            <w:tcW w:type="dxa" w:w="59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Magíster en Arquitectura (UC) · 20 años de experiencia · gestión de proyectos de innovación y redes de industria · menos de 20% del tiempo dedicado</w:t>
            </w:r>
          </w:p>
        </w:tc>
      </w:tr>
      <w:tr>
        <w:tc>
          <w:tcPr>
            <w:tcW w:type="dxa" w:w="19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José Allué</w:t>
            </w:r>
          </w:p>
        </w:tc>
        <w:tc>
          <w:tcPr>
            <w:tcW w:type="dxa" w:w="15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CPO</w:t>
            </w:r>
          </w:p>
        </w:tc>
        <w:tc>
          <w:tcPr>
            <w:tcW w:type="dxa" w:w="59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Estudios de Arquitectura en la UC (no titulado) · 18 años de experiencia práctica armando expedientes y enfrentando revisiones DOM · menos de 20% del tiempo dedicado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2E" w:sz="4"/>
              <w:left w:val="single" w:color="B23A2E" w:sz="18"/>
              <w:bottom w:val="single" w:color="B23A2E" w:sz="4"/>
              <w:right w:val="single" w:color="B23A2E" w:sz="4"/>
            </w:tcBorders>
            <w:shd w:fill="FBEAEA" w:val="clear"/>
            <w:tcMar>
              <w:top w:type="dxa" w:w="140"/>
              <w:left w:type="dxa" w:w="200"/>
              <w:bottom w:type="dxa" w:w="140"/>
              <w:right w:type="dxa" w:w="200"/>
            </w:tcMar>
          </w:tcPr>
          <w:p>
            <w:pPr>
              <w:spacing w:after="60"/>
            </w:pPr>
            <w:r>
              <w:rPr>
                <w:b/>
                <w:bCs/>
                <w:color w:val="B23A2E"/>
              </w:rPr>
              <w:t xml:space="preserve">Importante: hay dos co-founders con perfil de arquitecto, no uno</w:t>
            </w:r>
          </w:p>
          <w:p>
            <w:pPr>
              <w:spacing w:after="0"/>
            </w:pPr>
            <w:r>
              <w:t xml:space="preserve">La aplicación revela que tanto Cristian Wrbka como José Allué tienen formación y trayectoria en arquitectura. José tiene el perfil más hands-on y operativo (preparación de expedientes y revisiones DOM en el día a día), más cercano a quien redactó originalmente el documento de “Problema a Resolver”. Confirma cuál de los dos te acompaña en la llamada — el resto de este documento asume que es José, por ese perfil más operativo, pero ajústalo si es Cristian.</w:t>
            </w:r>
          </w:p>
        </w:tc>
      </w:tr>
    </w:tbl>
    <w:p>
      <w:pPr>
        <w:spacing w:after="120"/>
      </w:pPr>
    </w:p>
    <w:p>
      <w:pPr>
        <w:spacing w:after="160"/>
      </w:pPr>
      <w:r>
        <w:t xml:space="preserve">Datos de la empresa: NML SpA, RUT 77.860.293-8, domicilio en Ñuñoa, Región Metropolitana. Inicio de actividades comerciales de la sociedad: 21/11/2023. Inicio del desarrollo comercial específico de ArchiCheck: 21/05/2026 — es decir, muy reciente.</w:t>
      </w:r>
    </w:p>
    <w:p>
      <w:pPr>
        <w:pStyle w:val="Heading1"/>
        <w:pBdr>
          <w:bottom w:val="single" w:color="2E6F77" w:sz="6" w:space="4"/>
        </w:pBdr>
        <w:spacing w:after="200" w:before="360"/>
      </w:pPr>
      <w:r>
        <w:t xml:space="preserve">6. División de roles en la conversación</w:t>
      </w:r>
    </w:p>
    <w:p>
      <w:pPr>
        <w:spacing w:after="160"/>
      </w:pPr>
      <w:r>
        <w:t xml:space="preserve">Conversación libre con un solo evaluador — conviene tener claro internamente quién lidera cada tema, sin que se sienta ensayado.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Tema</w:t>
            </w:r>
          </w:p>
        </w:tc>
        <w:tc>
          <w:tcPr>
            <w:tcW w:type="dxa" w:w="24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Quién lidera</w:t>
            </w:r>
          </w:p>
        </w:tc>
        <w:tc>
          <w:tcPr>
            <w:tcW w:type="dxa" w:w="47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Por qué</w:t>
            </w:r>
          </w:p>
        </w:tc>
      </w:tr>
      <w:tr>
        <w:tc>
          <w:tcPr>
            <w:tcW w:type="dxa" w:w="2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Problem to be Solved</w:t>
            </w:r>
          </w:p>
        </w:tc>
        <w:tc>
          <w:tcPr>
            <w:tcW w:type="dxa" w:w="24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José (co-founder arquitecto)</w:t>
            </w:r>
          </w:p>
        </w:tc>
        <w:tc>
          <w:tcPr>
            <w:tcW w:type="dxa" w:w="4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Conoce el ciclo de permisos desde adentro — sus fricciones reales y las expectativas del arquitecto.</w:t>
            </w:r>
          </w:p>
        </w:tc>
      </w:tr>
      <w:tr>
        <w:tc>
          <w:tcPr>
            <w:tcW w:type="dxa" w:w="22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Technological Base</w:t>
            </w:r>
          </w:p>
        </w:tc>
        <w:tc>
          <w:tcPr>
            <w:tcW w:type="dxa" w:w="24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Tú (Nicolás, founder)</w:t>
            </w:r>
          </w:p>
        </w:tc>
        <w:tc>
          <w:tcPr>
            <w:tcW w:type="dxa" w:w="4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Lideraste el diseño y construcción técnica de punta a punta.</w:t>
            </w:r>
          </w:p>
        </w:tc>
      </w:tr>
      <w:tr>
        <w:tc>
          <w:tcPr>
            <w:tcW w:type="dxa" w:w="22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Scope in Chile</w:t>
            </w:r>
          </w:p>
        </w:tc>
        <w:tc>
          <w:tcPr>
            <w:tcW w:type="dxa" w:w="24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Compartido</w:t>
            </w:r>
          </w:p>
        </w:tc>
        <w:tc>
          <w:tcPr>
            <w:tcW w:type="dxa" w:w="4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Tú con los números (mercado, GTM); José valida desde la práctica.</w:t>
            </w:r>
          </w:p>
        </w:tc>
      </w:tr>
      <w:tr>
        <w:tc>
          <w:tcPr>
            <w:tcW w:type="dxa" w:w="22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Team Leader</w:t>
            </w:r>
          </w:p>
        </w:tc>
        <w:tc>
          <w:tcPr>
            <w:tcW w:type="dxa" w:w="24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Tú, directamente</w:t>
            </w:r>
          </w:p>
        </w:tc>
        <w:tc>
          <w:tcPr>
            <w:tcW w:type="dxa" w:w="4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Es sobre ti específicamente — pero puedes mencionar cómo armaste el equipo como evidencia de buen juicio.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77" w:sz="4"/>
              <w:left w:val="single" w:color="2E6F77" w:sz="18"/>
              <w:bottom w:val="single" w:color="2E6F77" w:sz="4"/>
              <w:right w:val="single" w:color="2E6F77" w:sz="4"/>
            </w:tcBorders>
            <w:shd w:fill="EAF1F2" w:val="clear"/>
            <w:tcMar>
              <w:top w:type="dxa" w:w="140"/>
              <w:left w:type="dxa" w:w="200"/>
              <w:bottom w:type="dxa" w:w="140"/>
              <w:right w:type="dxa" w:w="200"/>
            </w:tcMar>
          </w:tcPr>
          <w:p>
            <w:pPr>
              <w:spacing w:after="60"/>
            </w:pPr>
            <w:r>
              <w:rPr>
                <w:b/>
                <w:bCs/>
                <w:color w:val="2E6F77"/>
              </w:rPr>
              <w:t xml:space="preserve">Una regla simple para ambos</w:t>
            </w:r>
          </w:p>
          <w:p>
            <w:pPr>
              <w:spacing w:after="0"/>
            </w:pPr>
            <w:r>
              <w:t xml:space="preserve">Si no tienen una cifra exacta a mano, mejor decir “no lo tengo exacto ahora, te lo confirmo después” que improvisar un número. Esta versión del documento ya resolvió la mayoría de las inconsistencias de cifras — pero si surge algo nuevo, la regla sigue aplicando.</w:t>
            </w:r>
          </w:p>
        </w:tc>
      </w:tr>
    </w:tbl>
    <w:p>
      <w:pPr>
        <w:pStyle w:val="Heading1"/>
        <w:pBdr>
          <w:bottom w:val="single" w:color="2E6F77" w:sz="6" w:space="4"/>
        </w:pBdr>
        <w:spacing w:after="200" w:before="360"/>
      </w:pPr>
      <w:r>
        <w:t xml:space="preserve">7. Los tres mensajes que no pueden faltar</w:t>
      </w:r>
    </w:p>
    <w:p>
      <w:pPr>
        <w:pStyle w:val="ListParagraph"/>
        <w:numPr>
          <w:ilvl w:val="0"/>
          <w:numId w:val="3"/>
        </w:numPr>
        <w:spacing w:after="90"/>
      </w:pPr>
      <w:r>
        <w:t xml:space="preserve">Ya funciona: MVP en producción, validado con un caso real y con feedback directo de arquitectos externos.</w:t>
      </w:r>
    </w:p>
    <w:p>
      <w:pPr>
        <w:pStyle w:val="ListParagraph"/>
        <w:numPr>
          <w:ilvl w:val="0"/>
          <w:numId w:val="3"/>
        </w:numPr>
        <w:spacing w:after="90"/>
      </w:pPr>
      <w:r>
        <w:t xml:space="preserve">El problema es enorme y real: más de 800 días de tramitación, donde las revisiones explican más del 70% de ese tiempo, y la oficina de arquitectos no puede cobrar mientras tanto.</w:t>
      </w:r>
    </w:p>
    <w:p>
      <w:pPr>
        <w:pStyle w:val="ListParagraph"/>
        <w:numPr>
          <w:ilvl w:val="0"/>
          <w:numId w:val="3"/>
        </w:numPr>
        <w:spacing w:after="90"/>
      </w:pPr>
      <w:r>
        <w:t xml:space="preserve">Todavía no hay ventas — y ahí es exactamente donde entra Ignite: la meta declarada es llegar a 10 estudios activos y USD 6.000 de MRR al cierre del programa.</w:t>
      </w:r>
    </w:p>
    <w:p>
      <w:pPr>
        <w:pStyle w:val="Heading1"/>
        <w:pBdr>
          <w:bottom w:val="single" w:color="2E6F77" w:sz="6" w:space="4"/>
        </w:pBdr>
        <w:spacing w:after="200" w:before="360"/>
      </w:pPr>
      <w:r>
        <w:t xml:space="preserve">8. Preguntas difíciles anticipadas</w:t>
      </w:r>
    </w:p>
    <w:p>
      <w:pPr>
        <w:spacing w:after="160"/>
      </w:pPr>
      <w:r>
        <w:t xml:space="preserve">Actualizadas con la información oficial. Donde antes había un [completar], ahora hay una respuesta real.</w:t>
      </w:r>
    </w:p>
    <w:p>
      <w:pPr>
        <w:pStyle w:val="Heading2"/>
        <w:spacing w:after="140" w:before="260"/>
      </w:pPr>
      <w:r>
        <w:t xml:space="preserve">A. Producto y tecnología</w:t>
      </w:r>
    </w:p>
    <w:p>
      <w:pPr>
        <w:spacing w:after="60" w:before="160"/>
      </w:pPr>
      <w:r>
        <w:rPr>
          <w:b/>
          <w:bCs/>
          <w:color w:val="2E6F77"/>
        </w:rPr>
        <w:t xml:space="preserve">P: </w:t>
      </w:r>
      <w:r>
        <w:rPr>
          <w:b/>
          <w:bCs/>
        </w:rPr>
        <w:t xml:space="preserve">¿Esto corre así, automáticamente, para cualquier plano, hoy?</w:t>
      </w:r>
    </w:p>
    <w:p>
      <w:pPr>
        <w:spacing w:after="60"/>
        <w:ind w:left="200"/>
      </w:pPr>
      <w:r>
        <w:rPr>
          <w:b/>
          <w:bCs/>
          <w:color w:val="5A6570"/>
        </w:rPr>
        <w:t xml:space="preserve">R: </w:t>
      </w:r>
      <w:r>
        <w:t xml:space="preserve">El stack completo (OpenCV, U-Net, Grounding DINO, SAM 2, Claude + GPT-4o, pgvector, MLSTRUCT-FP, pdfplumber) describe la arquitectura de la solución. [Confirma antes de la llamada qué partes corren ya de forma automática en producción y cuáles siguen en integración, para responder con el estado real.]</w:t>
      </w:r>
    </w:p>
    <w:p>
      <w:pPr>
        <w:spacing w:after="60" w:before="160"/>
      </w:pPr>
      <w:r>
        <w:rPr>
          <w:b/>
          <w:bCs/>
          <w:color w:val="2E6F77"/>
        </w:rPr>
        <w:t xml:space="preserve">P: </w:t>
      </w:r>
      <w:r>
        <w:rPr>
          <w:b/>
          <w:bCs/>
        </w:rPr>
        <w:t xml:space="preserve">¿Por qué la meta de precisión es 90% y no más alto?</w:t>
      </w:r>
    </w:p>
    <w:p>
      <w:pPr>
        <w:spacing w:after="60"/>
        <w:ind w:left="200"/>
      </w:pPr>
      <w:r>
        <w:rPr>
          <w:b/>
          <w:bCs/>
          <w:color w:val="5A6570"/>
        </w:rPr>
        <w:t xml:space="preserve">R: </w:t>
      </w:r>
      <w:r>
        <w:t xml:space="preserve">Porque hoy el motor normativo cubre un subconjunto pequeño de comunas y tipos de proyecto. Llegar a 90% de forma consistente, validado con arquitectos reales, es la meta para los próximos 4 meses; superar 95% es la aspiración de mediano plazo, cuando se incorporen más comunas y casos.</w:t>
      </w:r>
    </w:p>
    <w:p>
      <w:pPr>
        <w:spacing w:after="60" w:before="160"/>
      </w:pPr>
      <w:r>
        <w:rPr>
          <w:b/>
          <w:bCs/>
          <w:color w:val="2E6F77"/>
        </w:rPr>
        <w:t xml:space="preserve">P: </w:t>
      </w:r>
      <w:r>
        <w:rPr>
          <w:b/>
          <w:bCs/>
        </w:rPr>
        <w:t xml:space="preserve">¿Tienen propiedad intelectual sobre esto?</w:t>
      </w:r>
    </w:p>
    <w:p>
      <w:pPr>
        <w:spacing w:after="60"/>
        <w:ind w:left="200"/>
      </w:pPr>
      <w:r>
        <w:rPr>
          <w:b/>
          <w:bCs/>
          <w:color w:val="5A6570"/>
        </w:rPr>
        <w:t xml:space="preserve">R: </w:t>
      </w:r>
      <w:r>
        <w:t xml:space="preserve">Hoy no — no se ha registrado IP formal. La defensibilidad viene del dataset propio de planos chilenos (MLSTRUCT-FP) y de la normativa estructurada como reglas verificables, no de una patente.</w:t>
      </w:r>
    </w:p>
    <w:p>
      <w:pPr>
        <w:pStyle w:val="Heading2"/>
        <w:spacing w:after="140" w:before="260"/>
      </w:pPr>
      <w:r>
        <w:t xml:space="preserve">B. Mercado y modelo de negocio</w:t>
      </w:r>
    </w:p>
    <w:p>
      <w:pPr>
        <w:spacing w:after="60" w:before="160"/>
      </w:pPr>
      <w:r>
        <w:rPr>
          <w:b/>
          <w:bCs/>
          <w:color w:val="2E6F77"/>
        </w:rPr>
        <w:t xml:space="preserve">P: </w:t>
      </w:r>
      <w:r>
        <w:rPr>
          <w:b/>
          <w:bCs/>
        </w:rPr>
        <w:t xml:space="preserve">¿Cuántos clientes pagando tienen hoy?</w:t>
      </w:r>
    </w:p>
    <w:p>
      <w:pPr>
        <w:spacing w:after="60"/>
        <w:ind w:left="200"/>
      </w:pPr>
      <w:r>
        <w:rPr>
          <w:b/>
          <w:bCs/>
          <w:color w:val="5A6570"/>
        </w:rPr>
        <w:t xml:space="preserve">R: </w:t>
      </w:r>
      <w:r>
        <w:t xml:space="preserve">Cero. Estamos en etapa de validación de MVP con oficinas de arquitectos; todavía no hay ventas. Falta incorporar algunas herramientas tecnológicas y el sistema de gestión de usuarios. Es justamente la brecha que Ignite nos ayuda a cerrar.</w:t>
      </w:r>
    </w:p>
    <w:p>
      <w:pPr>
        <w:spacing w:after="60" w:before="160"/>
      </w:pPr>
      <w:r>
        <w:rPr>
          <w:b/>
          <w:bCs/>
          <w:color w:val="2E6F77"/>
        </w:rPr>
        <w:t xml:space="preserve">P: </w:t>
      </w:r>
      <w:r>
        <w:rPr>
          <w:b/>
          <w:bCs/>
        </w:rPr>
        <w:t xml:space="preserve">¿De dónde sale el TAM/SAM/SOM?</w:t>
      </w:r>
    </w:p>
    <w:p>
      <w:pPr>
        <w:spacing w:after="60"/>
        <w:ind w:left="200"/>
      </w:pPr>
      <w:r>
        <w:rPr>
          <w:b/>
          <w:bCs/>
          <w:color w:val="5A6570"/>
        </w:rPr>
        <w:t xml:space="preserve">R: </w:t>
      </w:r>
      <w:r>
        <w:t xml:space="preserve">TAM: 3.500 estudios y más de 60.000 expedientes al año, a USD 100 por análisis, son USD 6,0 millones al año. El SAM aplica dos filtros del 80% (cobertura geográfica y exclusión de obras menores) y queda en USD 3,8 millones. El SOM asume capturar 5% de los estudios y cerca de 10% de los expedientes totales, USD 600 mil al año.</w:t>
      </w:r>
    </w:p>
    <w:p>
      <w:pPr>
        <w:spacing w:after="60" w:before="160"/>
      </w:pPr>
      <w:r>
        <w:rPr>
          <w:b/>
          <w:bCs/>
          <w:color w:val="2E6F77"/>
        </w:rPr>
        <w:t xml:space="preserve">P: </w:t>
      </w:r>
      <w:r>
        <w:rPr>
          <w:b/>
          <w:bCs/>
        </w:rPr>
        <w:t xml:space="preserve">¿Por qué el SAM excluye “obras menores” si su propio alcance inicial de producto las incluía?</w:t>
      </w:r>
    </w:p>
    <w:p>
      <w:pPr>
        <w:spacing w:after="60"/>
        <w:ind w:left="200"/>
      </w:pPr>
      <w:r>
        <w:rPr>
          <w:b/>
          <w:bCs/>
          <w:color w:val="5A6570"/>
        </w:rPr>
        <w:t xml:space="preserve">R: </w:t>
      </w:r>
      <w:r>
        <w:t xml:space="preserve">Es un punto que vale la pena aclarar con honestidad: el alcance de producto y el mercado servible no son exactamente la misma definición de “obra menor”. [Decide antes de la llamada si es una categoría regulatoria distinta o si el alcance comercial real hoy es más acotado que el alcance de producto original.]</w:t>
      </w:r>
    </w:p>
    <w:p>
      <w:pPr>
        <w:spacing w:after="60" w:before="160"/>
      </w:pPr>
      <w:r>
        <w:rPr>
          <w:b/>
          <w:bCs/>
          <w:color w:val="2E6F77"/>
        </w:rPr>
        <w:t xml:space="preserve">P: </w:t>
      </w:r>
      <w:r>
        <w:rPr>
          <w:b/>
          <w:bCs/>
        </w:rPr>
        <w:t xml:space="preserve">¿Cómo compiten con Revi, de la CChC?</w:t>
      </w:r>
    </w:p>
    <w:p>
      <w:pPr>
        <w:spacing w:after="60"/>
        <w:ind w:left="200"/>
      </w:pPr>
      <w:r>
        <w:rPr>
          <w:b/>
          <w:bCs/>
          <w:color w:val="5A6570"/>
        </w:rPr>
        <w:t xml:space="preserve">R: </w:t>
      </w:r>
      <w:r>
        <w:t xml:space="preserve">Revi es un checklist básico de completitud, sin análisis gráfico profundo, sin informes estructurados y sin capacidad de procesar feedback. ArchiCheck lee la geometría del plano contra la normativa artículo por artículo y mejora con cada revisión.</w:t>
      </w:r>
    </w:p>
    <w:p>
      <w:pPr>
        <w:spacing w:after="60" w:before="160"/>
      </w:pPr>
      <w:r>
        <w:rPr>
          <w:b/>
          <w:bCs/>
          <w:color w:val="2E6F77"/>
        </w:rPr>
        <w:t xml:space="preserve">P: </w:t>
      </w:r>
      <w:r>
        <w:rPr>
          <w:b/>
          <w:bCs/>
        </w:rPr>
        <w:t xml:space="preserve">¿Y las herramientas globales como Archistar o CodeComply.ai?</w:t>
      </w:r>
    </w:p>
    <w:p>
      <w:pPr>
        <w:spacing w:after="60"/>
        <w:ind w:left="200"/>
      </w:pPr>
      <w:r>
        <w:rPr>
          <w:b/>
          <w:bCs/>
          <w:color w:val="5A6570"/>
        </w:rPr>
        <w:t xml:space="preserve">R: </w:t>
      </w:r>
      <w:r>
        <w:t xml:space="preserve">No tienen presencia en Chile ni cruce con la normativa local — OGUC, LGUC, DDU y PRC comunal son específicos de Chile y no triviales de replicar sin un dataset y motor normativo local.</w:t>
      </w:r>
    </w:p>
    <w:p>
      <w:pPr>
        <w:pStyle w:val="Heading2"/>
        <w:spacing w:after="140" w:before="260"/>
      </w:pPr>
      <w:r>
        <w:t xml:space="preserve">C. Equipo</w:t>
      </w:r>
    </w:p>
    <w:p>
      <w:pPr>
        <w:spacing w:after="60" w:before="160"/>
      </w:pPr>
      <w:r>
        <w:rPr>
          <w:b/>
          <w:bCs/>
          <w:color w:val="2E6F77"/>
        </w:rPr>
        <w:t xml:space="preserve">P: </w:t>
      </w:r>
      <w:r>
        <w:rPr>
          <w:b/>
          <w:bCs/>
        </w:rPr>
        <w:t xml:space="preserve">¿Has fundado startups antes?</w:t>
      </w:r>
    </w:p>
    <w:p>
      <w:pPr>
        <w:spacing w:after="60"/>
        <w:ind w:left="200"/>
      </w:pPr>
      <w:r>
        <w:rPr>
          <w:b/>
          <w:bCs/>
          <w:color w:val="5A6570"/>
        </w:rPr>
        <w:t xml:space="preserve">R: </w:t>
      </w:r>
      <w:r>
        <w:t xml:space="preserve">Empresas de consultoría en TI y pagos, sí. Como startup propiamente dicha, en el sentido de Start-Up Chile, esta es la primera.</w:t>
      </w:r>
    </w:p>
    <w:p>
      <w:pPr>
        <w:spacing w:after="60" w:before="160"/>
      </w:pPr>
      <w:r>
        <w:rPr>
          <w:b/>
          <w:bCs/>
          <w:color w:val="2E6F77"/>
        </w:rPr>
        <w:t xml:space="preserve">P: </w:t>
      </w:r>
      <w:r>
        <w:rPr>
          <w:b/>
          <w:bCs/>
        </w:rPr>
        <w:t xml:space="preserve">¿Cómo se reparte la propiedad entre los tres founders?</w:t>
      </w:r>
    </w:p>
    <w:p>
      <w:pPr>
        <w:spacing w:after="60"/>
        <w:ind w:left="200"/>
      </w:pPr>
      <w:r>
        <w:rPr>
          <w:b/>
          <w:bCs/>
          <w:color w:val="5A6570"/>
        </w:rPr>
        <w:t xml:space="preserve">R: </w:t>
      </w:r>
      <w:r>
        <w:t xml:space="preserve">[Tener la respuesta real lista: la aplicación declara que tienes 100% de la equity individualmente y que el equipo fundador controla 100% en conjunto, pero no detalla la participación de Cristian y José.]</w:t>
      </w:r>
    </w:p>
    <w:p>
      <w:pPr>
        <w:spacing w:after="60" w:before="160"/>
      </w:pPr>
      <w:r>
        <w:rPr>
          <w:b/>
          <w:bCs/>
          <w:color w:val="2E6F77"/>
        </w:rPr>
        <w:t xml:space="preserve">P: </w:t>
      </w:r>
      <w:r>
        <w:rPr>
          <w:b/>
          <w:bCs/>
        </w:rPr>
        <w:t xml:space="preserve">¿Cristian y José trabajan full-time en esto?</w:t>
      </w:r>
    </w:p>
    <w:p>
      <w:pPr>
        <w:spacing w:after="60"/>
        <w:ind w:left="200"/>
      </w:pPr>
      <w:r>
        <w:rPr>
          <w:b/>
          <w:bCs/>
          <w:color w:val="5A6570"/>
        </w:rPr>
        <w:t xml:space="preserve">R: </w:t>
      </w:r>
      <w:r>
        <w:t xml:space="preserve">No — cada uno dedica menos de 20% de su tiempo hoy. Aportan expertise de dominio (arquitectura, normativa, redes de industria) más que ejecución diaria; tú eres el único full-time.</w:t>
      </w:r>
    </w:p>
    <w:p>
      <w:pPr>
        <w:pStyle w:val="Heading2"/>
        <w:spacing w:after="140" w:before="260"/>
      </w:pPr>
      <w:r>
        <w:t xml:space="preserve">D. Riesgos y limitaciones — honestidad estratégica</w:t>
      </w:r>
    </w:p>
    <w:p>
      <w:pPr>
        <w:spacing w:after="60" w:before="160"/>
      </w:pPr>
      <w:r>
        <w:rPr>
          <w:b/>
          <w:bCs/>
          <w:color w:val="2E6F77"/>
        </w:rPr>
        <w:t xml:space="preserve">P: </w:t>
      </w:r>
      <w:r>
        <w:rPr>
          <w:b/>
          <w:bCs/>
        </w:rPr>
        <w:t xml:space="preserve">¿Cuál es el mayor riesgo técnico hoy?</w:t>
      </w:r>
    </w:p>
    <w:p>
      <w:pPr>
        <w:spacing w:after="60"/>
        <w:ind w:left="200"/>
      </w:pPr>
      <w:r>
        <w:rPr>
          <w:b/>
          <w:bCs/>
          <w:color w:val="5A6570"/>
        </w:rPr>
        <w:t xml:space="preserve">R: </w:t>
      </w:r>
      <w:r>
        <w:t xml:space="preserve">Que la precisión y cobertura dependen de seguir incorporando comunas y tipos de proyecto al motor normativo, que hoy cubre solo un subconjunto pequeño. Expedientes mal escaneados o sin capas CAD estructuradas también degradan los resultados.</w:t>
      </w:r>
    </w:p>
    <w:p>
      <w:pPr>
        <w:spacing w:after="60" w:before="160"/>
      </w:pPr>
      <w:r>
        <w:rPr>
          <w:b/>
          <w:bCs/>
          <w:color w:val="2E6F77"/>
        </w:rPr>
        <w:t xml:space="preserve">P: </w:t>
      </w:r>
      <w:r>
        <w:rPr>
          <w:b/>
          <w:bCs/>
        </w:rPr>
        <w:t xml:space="preserve">¿Cuál es el mayor riesgo operacional para escalar?</w:t>
      </w:r>
    </w:p>
    <w:p>
      <w:pPr>
        <w:spacing w:after="60"/>
        <w:ind w:left="200"/>
      </w:pPr>
      <w:r>
        <w:rPr>
          <w:b/>
          <w:bCs/>
          <w:color w:val="5A6570"/>
        </w:rPr>
        <w:t xml:space="preserve">R: </w:t>
      </w:r>
      <w:r>
        <w:t xml:space="preserve">Cada nueva comuna requiere codificar su PRC específico, y escalar a nuevos países implica reentrenar el modelo con la normativa y las convenciones de planos locales de cada lugar.</w:t>
      </w:r>
    </w:p>
    <w:p>
      <w:pPr>
        <w:spacing w:after="60" w:before="160"/>
      </w:pPr>
      <w:r>
        <w:rPr>
          <w:b/>
          <w:bCs/>
          <w:color w:val="2E6F77"/>
        </w:rPr>
        <w:t xml:space="preserve">P: </w:t>
      </w:r>
      <w:r>
        <w:rPr>
          <w:b/>
          <w:bCs/>
        </w:rPr>
        <w:t xml:space="preserve">Su runway declarado es de 6 meses, pero con su capital y burn rate da cerca de 8. ¿Por qué la diferencia?</w:t>
      </w:r>
    </w:p>
    <w:p>
      <w:pPr>
        <w:spacing w:after="60"/>
        <w:ind w:left="200"/>
      </w:pPr>
      <w:r>
        <w:rPr>
          <w:b/>
          <w:bCs/>
          <w:color w:val="5A6570"/>
        </w:rPr>
        <w:t xml:space="preserve">R: </w:t>
      </w:r>
      <w:r>
        <w:t xml:space="preserve">[Tener la explicación lista antes de la llamada — por ejemplo, si parte del capital inicial tiene un destino no operacional, o si el burn rate aumenta a medida que se contrata.]</w:t>
      </w:r>
    </w:p>
    <w:p>
      <w:pPr>
        <w:pStyle w:val="Heading2"/>
        <w:spacing w:after="140" w:before="260"/>
      </w:pPr>
      <w:r>
        <w:t xml:space="preserve">E. Uso de los fondos BIG y plan a 4 meses</w:t>
      </w:r>
    </w:p>
    <w:p>
      <w:pPr>
        <w:spacing w:after="60" w:before="160"/>
      </w:pPr>
      <w:r>
        <w:rPr>
          <w:b/>
          <w:bCs/>
          <w:color w:val="2E6F77"/>
        </w:rPr>
        <w:t xml:space="preserve">P: </w:t>
      </w:r>
      <w:r>
        <w:rPr>
          <w:b/>
          <w:bCs/>
        </w:rPr>
        <w:t xml:space="preserve">Si les aprueban Ignite, ¿qué logran en 4 meses, concretamente?</w:t>
      </w:r>
    </w:p>
    <w:p>
      <w:pPr>
        <w:spacing w:after="60"/>
        <w:ind w:left="200"/>
      </w:pPr>
      <w:r>
        <w:rPr>
          <w:b/>
          <w:bCs/>
          <w:color w:val="5A6570"/>
        </w:rPr>
        <w:t xml:space="preserve">R: </w:t>
      </w:r>
      <w:r>
        <w:t xml:space="preserve">Cuatro metas concretas: 10 estudios de arquitectura activos, 10 comunas de la Región Metropolitana incorporadas al motor normativo, USD 6.000 de MRR, y precisión de análisis validada en ≥90% con arquitectos reales.</w:t>
      </w:r>
    </w:p>
    <w:p>
      <w:pPr>
        <w:spacing w:after="60" w:before="160"/>
      </w:pPr>
      <w:r>
        <w:rPr>
          <w:b/>
          <w:bCs/>
          <w:color w:val="2E6F77"/>
        </w:rPr>
        <w:t xml:space="preserve">P: </w:t>
      </w:r>
      <w:r>
        <w:rPr>
          <w:b/>
          <w:bCs/>
        </w:rPr>
        <w:t xml:space="preserve">¿Qué esperan del programa más allá del dinero?</w:t>
      </w:r>
    </w:p>
    <w:p>
      <w:pPr>
        <w:spacing w:after="60"/>
        <w:ind w:left="200"/>
      </w:pPr>
      <w:r>
        <w:rPr>
          <w:b/>
          <w:bCs/>
          <w:color w:val="5A6570"/>
        </w:rPr>
        <w:t xml:space="preserve">R: </w:t>
      </w:r>
      <w:r>
        <w:t xml:space="preserve">Acceso a partners internacionales (aceleradoras, programas de soft-landing), conexiones corporativas con potenciales socios y clientes, y el financiamiento equity-free en sí.</w:t>
      </w:r>
    </w:p>
    <w:p>
      <w:pPr>
        <w:pStyle w:val="Heading1"/>
        <w:pBdr>
          <w:bottom w:val="single" w:color="2E6F77" w:sz="6" w:space="4"/>
        </w:pBdr>
        <w:spacing w:after="200" w:before="360"/>
      </w:pPr>
      <w:r>
        <w:t xml:space="preserve">9. Checklist antes de la llamada</w:t>
      </w:r>
    </w:p>
    <w:p>
      <w:pPr>
        <w:pStyle w:val="ListParagraph"/>
        <w:numPr>
          <w:ilvl w:val="0"/>
          <w:numId w:val="2"/>
        </w:numPr>
        <w:spacing w:after="90"/>
      </w:pPr>
      <w:r>
        <w:t xml:space="preserve">Confirmar cuál de los dos co-founders (José o Cristian) te acompaña, y ajustar la división de roles si es Cristian.</w:t>
      </w:r>
    </w:p>
    <w:p>
      <w:pPr>
        <w:pStyle w:val="ListParagraph"/>
        <w:numPr>
          <w:ilvl w:val="0"/>
          <w:numId w:val="2"/>
        </w:numPr>
        <w:spacing w:after="90"/>
      </w:pPr>
      <w:r>
        <w:t xml:space="preserve">Tener lista la fuente o el respaldo del dato de más de 800 días de tramitación.</w:t>
      </w:r>
    </w:p>
    <w:p>
      <w:pPr>
        <w:pStyle w:val="ListParagraph"/>
        <w:numPr>
          <w:ilvl w:val="0"/>
          <w:numId w:val="2"/>
        </w:numPr>
        <w:spacing w:after="90"/>
      </w:pPr>
      <w:r>
        <w:t xml:space="preserve">Tener clara la diferencia entre el MRR de cierre de programa (USD 6.000) y el MRR de mes 12 del modelo anual (USD 15.750) — son metas en horizontes distintos.</w:t>
      </w:r>
    </w:p>
    <w:p>
      <w:pPr>
        <w:pStyle w:val="ListParagraph"/>
        <w:numPr>
          <w:ilvl w:val="0"/>
          <w:numId w:val="2"/>
        </w:numPr>
        <w:spacing w:after="90"/>
      </w:pPr>
      <w:r>
        <w:t xml:space="preserve">Preparar cómo enmarcar el LTV/CAC (23x) como hipótesis a validar durante el programa, no como un hecho ya medido.</w:t>
      </w:r>
    </w:p>
    <w:p>
      <w:pPr>
        <w:pStyle w:val="ListParagraph"/>
        <w:numPr>
          <w:ilvl w:val="0"/>
          <w:numId w:val="2"/>
        </w:numPr>
        <w:spacing w:after="90"/>
      </w:pPr>
      <w:r>
        <w:t xml:space="preserve">Dedicar 15 minutos a reconciliar en una sola cuenta: runway, los dos MRR, y los 10 estudios — son los tres números que no multiplican exactamente entre sí.</w:t>
      </w:r>
    </w:p>
    <w:p>
      <w:pPr>
        <w:pStyle w:val="ListParagraph"/>
        <w:numPr>
          <w:ilvl w:val="0"/>
          <w:numId w:val="2"/>
        </w:numPr>
        <w:spacing w:after="90"/>
      </w:pPr>
      <w:r>
        <w:t xml:space="preserve">Tener lista la explicación del runway (6 meses declarados vs. ≈8 meses que da la cuenta de capital ÷ burn).</w:t>
      </w:r>
    </w:p>
    <w:p>
      <w:pPr>
        <w:pStyle w:val="ListParagraph"/>
        <w:numPr>
          <w:ilvl w:val="0"/>
          <w:numId w:val="2"/>
        </w:numPr>
        <w:spacing w:after="90"/>
      </w:pPr>
      <w:r>
        <w:t xml:space="preserve">Confirmar el estado real del aporte ángel de USD 8.000 — está en conversación, no cerrado.</w:t>
      </w:r>
    </w:p>
    <w:p>
      <w:pPr>
        <w:pStyle w:val="ListParagraph"/>
        <w:numPr>
          <w:ilvl w:val="0"/>
          <w:numId w:val="2"/>
        </w:numPr>
        <w:spacing w:after="90"/>
      </w:pPr>
      <w:r>
        <w:t xml:space="preserve">Decidir cómo explicar la exclusión de “obras menores” del SAM frente al alcance de producto original.</w:t>
      </w:r>
    </w:p>
    <w:p>
      <w:pPr>
        <w:pStyle w:val="ListParagraph"/>
        <w:numPr>
          <w:ilvl w:val="0"/>
          <w:numId w:val="2"/>
        </w:numPr>
        <w:spacing w:after="90"/>
      </w:pPr>
      <w:r>
        <w:t xml:space="preserve">Pre-cargar el informe del caso restaurante y tener un segundo caso de respaldo.</w:t>
      </w:r>
    </w:p>
    <w:p>
      <w:pPr>
        <w:pStyle w:val="ListParagraph"/>
        <w:numPr>
          <w:ilvl w:val="0"/>
          <w:numId w:val="2"/>
        </w:numPr>
        <w:spacing w:after="90"/>
      </w:pPr>
      <w:r>
        <w:t xml:space="preserve">Probar conexión, cámara y micrófono 15 minutos antes.</w:t>
      </w:r>
    </w:p>
    <w:p>
      <w:r>
        <w:br w:type="page"/>
      </w:r>
    </w:p>
    <w:p>
      <w:pPr>
        <w:pStyle w:val="Heading1"/>
        <w:pBdr>
          <w:bottom w:val="single" w:color="2E6F77" w:sz="6" w:space="4"/>
        </w:pBdr>
        <w:spacing w:after="200" w:before="360"/>
      </w:pPr>
      <w:r>
        <w:t xml:space="preserve">·. Anexo — Hoja de datos rápidos</w:t>
      </w:r>
    </w:p>
    <w:p>
      <w:pPr>
        <w:spacing w:after="160"/>
      </w:pPr>
      <w:r>
        <w:t xml:space="preserve">Versión condensada de la Sección 5, para tener abierta o impresa durante la llamada.</w:t>
      </w:r>
    </w:p>
    <w:p>
      <w:pPr>
        <w:pStyle w:val="Heading2"/>
        <w:spacing w:after="140" w:before="260"/>
      </w:pPr>
      <w:r>
        <w:t xml:space="preserve">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Dato</w:t>
            </w:r>
          </w:p>
        </w:tc>
        <w:tc>
          <w:tcPr>
            <w:tcW w:type="dxa" w:w="39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Cifra</w:t>
            </w:r>
          </w:p>
        </w:tc>
      </w:tr>
      <w:tr>
        <w:tc>
          <w:tcPr>
            <w:tcW w:type="dxa" w:w="54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Tramitación DOM</w:t>
            </w:r>
          </w:p>
        </w:tc>
        <w:tc>
          <w:tcPr>
            <w:tcW w:type="dxa" w:w="39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Más de 800 días</w:t>
            </w:r>
          </w:p>
        </w:tc>
      </w:tr>
      <w:tr>
        <w:tc>
          <w:tcPr>
            <w:tcW w:type="dxa" w:w="54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 explicado por revisiones</w:t>
            </w:r>
          </w:p>
        </w:tc>
        <w:tc>
          <w:tcPr>
            <w:tcW w:type="dxa" w:w="39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Más del 70%</w:t>
            </w:r>
          </w:p>
        </w:tc>
      </w:tr>
      <w:tr>
        <w:tc>
          <w:tcPr>
            <w:tcW w:type="dxa" w:w="54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Oficinas de arquitectos en Chile</w:t>
            </w:r>
          </w:p>
        </w:tc>
        <w:tc>
          <w:tcPr>
            <w:tcW w:type="dxa" w:w="39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~3.500</w:t>
            </w:r>
          </w:p>
        </w:tc>
      </w:tr>
      <w:tr>
        <w:tc>
          <w:tcPr>
            <w:tcW w:type="dxa" w:w="54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Expedientes procesados al año</w:t>
            </w:r>
          </w:p>
        </w:tc>
        <w:tc>
          <w:tcPr>
            <w:tcW w:type="dxa" w:w="39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Más de 60.000</w:t>
            </w:r>
          </w:p>
        </w:tc>
      </w:tr>
    </w:tbl>
    <w:p>
      <w:pPr>
        <w:spacing w:after="120"/>
      </w:pPr>
    </w:p>
    <w:p>
      <w:pPr>
        <w:pStyle w:val="Heading2"/>
        <w:spacing w:after="140" w:before="260"/>
      </w:pPr>
      <w:r>
        <w:t xml:space="preserve">Mercado (TAM / SAM /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Nivel</w:t>
            </w:r>
          </w:p>
        </w:tc>
        <w:tc>
          <w:tcPr>
            <w:tcW w:type="dxa" w:w="57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Cifra</w:t>
            </w:r>
          </w:p>
        </w:tc>
      </w:tr>
      <w:tr>
        <w:tc>
          <w:tcPr>
            <w:tcW w:type="dxa" w:w="3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TAM</w:t>
            </w:r>
          </w:p>
        </w:tc>
        <w:tc>
          <w:tcPr>
            <w:tcW w:type="dxa" w:w="5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6,0M/año (60.000 expedientes × USD 100)</w:t>
            </w:r>
          </w:p>
        </w:tc>
      </w:tr>
      <w:tr>
        <w:tc>
          <w:tcPr>
            <w:tcW w:type="dxa" w:w="3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SAM</w:t>
            </w:r>
          </w:p>
        </w:tc>
        <w:tc>
          <w:tcPr>
            <w:tcW w:type="dxa" w:w="5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USD 3,8M/año (64% del TAM)</w:t>
            </w:r>
          </w:p>
        </w:tc>
      </w:tr>
      <w:tr>
        <w:tc>
          <w:tcPr>
            <w:tcW w:type="dxa" w:w="3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SOM</w:t>
            </w:r>
          </w:p>
        </w:tc>
        <w:tc>
          <w:tcPr>
            <w:tcW w:type="dxa" w:w="5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600K/año (15% del SAM)</w:t>
            </w:r>
          </w:p>
        </w:tc>
      </w:tr>
      <w:tr>
        <w:tc>
          <w:tcPr>
            <w:tcW w:type="dxa" w:w="3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Precio base</w:t>
            </w:r>
          </w:p>
        </w:tc>
        <w:tc>
          <w:tcPr>
            <w:tcW w:type="dxa" w:w="5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USD 100 por expediente/análisis</w:t>
            </w:r>
          </w:p>
        </w:tc>
      </w:tr>
    </w:tbl>
    <w:p>
      <w:pPr>
        <w:spacing w:after="120"/>
      </w:pPr>
    </w:p>
    <w:p>
      <w:pPr>
        <w:pStyle w:val="Heading2"/>
        <w:spacing w:after="140" w:before="260"/>
      </w:pPr>
      <w: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Dato</w:t>
            </w:r>
          </w:p>
        </w:tc>
        <w:tc>
          <w:tcPr>
            <w:tcW w:type="dxa" w:w="57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Cifra</w:t>
            </w:r>
          </w:p>
        </w:tc>
      </w:tr>
      <w:tr>
        <w:tc>
          <w:tcPr>
            <w:tcW w:type="dxa" w:w="3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LTV</w:t>
            </w:r>
          </w:p>
        </w:tc>
        <w:tc>
          <w:tcPr>
            <w:tcW w:type="dxa" w:w="5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7.000/estudio</w:t>
            </w:r>
          </w:p>
        </w:tc>
      </w:tr>
      <w:tr>
        <w:tc>
          <w:tcPr>
            <w:tcW w:type="dxa" w:w="3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CAC</w:t>
            </w:r>
          </w:p>
        </w:tc>
        <w:tc>
          <w:tcPr>
            <w:tcW w:type="dxa" w:w="5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USD 300/estudio</w:t>
            </w:r>
          </w:p>
        </w:tc>
      </w:tr>
      <w:tr>
        <w:tc>
          <w:tcPr>
            <w:tcW w:type="dxa" w:w="3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LTV/CAC</w:t>
            </w:r>
          </w:p>
        </w:tc>
        <w:tc>
          <w:tcPr>
            <w:tcW w:type="dxa" w:w="5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23x (hipótesis, sin clientes reales aún)</w:t>
            </w:r>
          </w:p>
        </w:tc>
      </w:tr>
      <w:tr>
        <w:tc>
          <w:tcPr>
            <w:tcW w:type="dxa" w:w="3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MRR mes 12 (modelo anual)</w:t>
            </w:r>
          </w:p>
        </w:tc>
        <w:tc>
          <w:tcPr>
            <w:tcW w:type="dxa" w:w="5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USD 15.750</w:t>
            </w:r>
          </w:p>
        </w:tc>
      </w:tr>
      <w:tr>
        <w:tc>
          <w:tcPr>
            <w:tcW w:type="dxa" w:w="3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ARR año 1</w:t>
            </w:r>
          </w:p>
        </w:tc>
        <w:tc>
          <w:tcPr>
            <w:tcW w:type="dxa" w:w="5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94.500</w:t>
            </w:r>
          </w:p>
        </w:tc>
      </w:tr>
      <w:tr>
        <w:tc>
          <w:tcPr>
            <w:tcW w:type="dxa" w:w="3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Burn rate</w:t>
            </w:r>
          </w:p>
        </w:tc>
        <w:tc>
          <w:tcPr>
            <w:tcW w:type="dxa" w:w="5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USD 5.000/mes</w:t>
            </w:r>
          </w:p>
        </w:tc>
      </w:tr>
      <w:tr>
        <w:tc>
          <w:tcPr>
            <w:tcW w:type="dxa" w:w="3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Capital inicial</w:t>
            </w:r>
          </w:p>
        </w:tc>
        <w:tc>
          <w:tcPr>
            <w:tcW w:type="dxa" w:w="5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 USD 41.000 (USD33K Start-Up Chile + USD8K ángel)</w:t>
            </w:r>
          </w:p>
        </w:tc>
      </w:tr>
      <w:tr>
        <w:tc>
          <w:tcPr>
            <w:tcW w:type="dxa" w:w="3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Runway declarado</w:t>
            </w:r>
          </w:p>
        </w:tc>
        <w:tc>
          <w:tcPr>
            <w:tcW w:type="dxa" w:w="5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6 meses (verificar: cuenta da ≈8)</w:t>
            </w:r>
          </w:p>
        </w:tc>
      </w:tr>
    </w:tbl>
    <w:p>
      <w:pPr>
        <w:spacing w:after="120"/>
      </w:pPr>
    </w:p>
    <w:p>
      <w:pPr>
        <w:pStyle w:val="Heading2"/>
        <w:spacing w:after="140" w:before="260"/>
      </w:pPr>
      <w:r>
        <w:t xml:space="preserve">Metas Ignite (4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Dato</w:t>
            </w:r>
          </w:p>
        </w:tc>
        <w:tc>
          <w:tcPr>
            <w:tcW w:type="dxa" w:w="57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Cifra</w:t>
            </w:r>
          </w:p>
        </w:tc>
      </w:tr>
      <w:tr>
        <w:tc>
          <w:tcPr>
            <w:tcW w:type="dxa" w:w="3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Estudios activos</w:t>
            </w:r>
          </w:p>
        </w:tc>
        <w:tc>
          <w:tcPr>
            <w:tcW w:type="dxa" w:w="5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10</w:t>
            </w:r>
          </w:p>
        </w:tc>
      </w:tr>
      <w:tr>
        <w:tc>
          <w:tcPr>
            <w:tcW w:type="dxa" w:w="3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Comunas RM incorporadas</w:t>
            </w:r>
          </w:p>
        </w:tc>
        <w:tc>
          <w:tcPr>
            <w:tcW w:type="dxa" w:w="5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10</w:t>
            </w:r>
          </w:p>
        </w:tc>
      </w:tr>
      <w:tr>
        <w:tc>
          <w:tcPr>
            <w:tcW w:type="dxa" w:w="3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MRR al cierre del programa</w:t>
            </w:r>
          </w:p>
        </w:tc>
        <w:tc>
          <w:tcPr>
            <w:tcW w:type="dxa" w:w="5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6.000</w:t>
            </w:r>
          </w:p>
        </w:tc>
      </w:tr>
      <w:tr>
        <w:tc>
          <w:tcPr>
            <w:tcW w:type="dxa" w:w="3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Precisión validada</w:t>
            </w:r>
          </w:p>
        </w:tc>
        <w:tc>
          <w:tcPr>
            <w:tcW w:type="dxa" w:w="5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≥90%</w:t>
            </w:r>
          </w:p>
        </w:tc>
      </w:tr>
    </w:tbl>
    <w:p>
      <w:pPr>
        <w:spacing w:after="120"/>
      </w:pPr>
    </w:p>
    <w:p>
      <w:pPr>
        <w:pStyle w:val="Heading2"/>
        <w:spacing w:after="140" w:before="260"/>
      </w:pPr>
      <w:r>
        <w:t xml:space="preserve">Equipo y financiamiento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Dato</w:t>
            </w:r>
          </w:p>
        </w:tc>
        <w:tc>
          <w:tcPr>
            <w:tcW w:type="dxa" w:w="5760"/>
            <w:tcBorders>
              <w:top w:val="single" w:color="CCCCCC" w:sz="2"/>
              <w:left w:val="single" w:color="CCCCCC" w:sz="2"/>
              <w:bottom w:val="single" w:color="CCCCCC" w:sz="2"/>
              <w:right w:val="single" w:color="CCCCCC" w:sz="2"/>
            </w:tcBorders>
            <w:shd w:fill="1F3A4D" w:val="clear"/>
            <w:tcMar>
              <w:top w:type="dxa" w:w="100"/>
              <w:left w:type="dxa" w:w="120"/>
              <w:bottom w:type="dxa" w:w="100"/>
              <w:right w:type="dxa" w:w="120"/>
            </w:tcMar>
            <w:vAlign w:val="center"/>
          </w:tcPr>
          <w:p>
            <w:r>
              <w:rPr>
                <w:b/>
                <w:bCs/>
                <w:color w:val="FFFFFF"/>
                <w:sz w:val="20"/>
                <w:szCs w:val="20"/>
              </w:rPr>
              <w:t xml:space="preserve">Cifra</w:t>
            </w:r>
          </w:p>
        </w:tc>
      </w:tr>
      <w:tr>
        <w:tc>
          <w:tcPr>
            <w:tcW w:type="dxa" w:w="3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Team Leader</w:t>
            </w:r>
          </w:p>
        </w:tc>
        <w:tc>
          <w:tcPr>
            <w:tcW w:type="dxa" w:w="5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Nicolás Estragues — CEO, 100% full-time, 23 años de experiencia</w:t>
            </w:r>
          </w:p>
        </w:tc>
      </w:tr>
      <w:tr>
        <w:tc>
          <w:tcPr>
            <w:tcW w:type="dxa" w:w="3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Co-founders</w:t>
            </w:r>
          </w:p>
        </w:tc>
        <w:tc>
          <w:tcPr>
            <w:tcW w:type="dxa" w:w="5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Cristian Wrbka (Industry Expert) y José Allué (CPO), &lt;20% tiempo cada uno</w:t>
            </w:r>
          </w:p>
        </w:tc>
      </w:tr>
      <w:tr>
        <w:tc>
          <w:tcPr>
            <w:tcW w:type="dxa" w:w="360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Grant Start-Up Chile</w:t>
            </w:r>
          </w:p>
        </w:tc>
        <w:tc>
          <w:tcPr>
            <w:tcW w:type="dxa" w:w="5760"/>
            <w:tcBorders>
              <w:top w:val="single" w:color="CCCCCC" w:sz="2"/>
              <w:left w:val="single" w:color="CCCCCC" w:sz="2"/>
              <w:bottom w:val="single" w:color="CCCCCC" w:sz="2"/>
              <w:right w:val="single" w:color="CCCCCC" w:sz="2"/>
            </w:tcBorders>
            <w:shd w:fill="FFFFFF" w:val="clear"/>
            <w:tcMar>
              <w:top w:type="dxa" w:w="90"/>
              <w:left w:type="dxa" w:w="120"/>
              <w:bottom w:type="dxa" w:w="90"/>
              <w:right w:type="dxa" w:w="120"/>
            </w:tcMar>
            <w:vAlign w:val="center"/>
          </w:tcPr>
          <w:p>
            <w:r>
              <w:rPr>
                <w:sz w:val="20"/>
                <w:szCs w:val="20"/>
              </w:rPr>
              <w:t xml:space="preserve">USD 31.000 (CLP 30MM), equity-free</w:t>
            </w:r>
          </w:p>
        </w:tc>
      </w:tr>
      <w:tr>
        <w:tc>
          <w:tcPr>
            <w:tcW w:type="dxa" w:w="360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Co-financiamiento ángel</w:t>
            </w:r>
          </w:p>
        </w:tc>
        <w:tc>
          <w:tcPr>
            <w:tcW w:type="dxa" w:w="5760"/>
            <w:tcBorders>
              <w:top w:val="single" w:color="CCCCCC" w:sz="2"/>
              <w:left w:val="single" w:color="CCCCCC" w:sz="2"/>
              <w:bottom w:val="single" w:color="CCCCCC" w:sz="2"/>
              <w:right w:val="single" w:color="CCCCCC" w:sz="2"/>
            </w:tcBorders>
            <w:shd w:fill="F4F7F7" w:val="clear"/>
            <w:tcMar>
              <w:top w:type="dxa" w:w="90"/>
              <w:left w:type="dxa" w:w="120"/>
              <w:bottom w:type="dxa" w:w="90"/>
              <w:right w:type="dxa" w:w="120"/>
            </w:tcMar>
            <w:vAlign w:val="center"/>
          </w:tcPr>
          <w:p>
            <w:r>
              <w:rPr>
                <w:sz w:val="20"/>
                <w:szCs w:val="20"/>
              </w:rPr>
              <w:t xml:space="preserve">USD 8.000, en conversación</w:t>
            </w:r>
          </w:p>
        </w:tc>
      </w:tr>
    </w:tbl>
    <w:p>
      <w:pPr>
        <w:spacing w:before="400"/>
      </w:pPr>
    </w:p>
    <w:p>
      <w:pPr>
        <w:jc w:val="center"/>
      </w:pPr>
      <w:r>
        <w:rPr>
          <w:i/>
          <w:iCs/>
          <w:color w:val="5A6570"/>
          <w:sz w:val="18"/>
          <w:szCs w:val="18"/>
        </w:rPr>
        <w:t xml:space="preserve">ArchiCheck · Preparación de defensa Start-Up Chile BIG Ignite · v2 (datos oficiales)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70"/>
        <w:sz w:val="16"/>
        <w:szCs w:val="16"/>
      </w:rPr>
      <w:t xml:space="preserve">Página </w:t>
    </w:r>
    <w:r>
      <w:rPr>
        <w:color w:val="5A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570"/>
        <w:sz w:val="16"/>
        <w:szCs w:val="16"/>
      </w:rPr>
      <w:t xml:space="preserve">ArchiCheck — Defensa Start-Up Chile BIG Ignite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4D"/>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6F7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2026-06-24T23:34:58.678Z</dcterms:created>
  <dcterms:modified xsi:type="dcterms:W3CDTF">2026-06-24T23:34:58.679Z</dcterms:modified>
</cp:coreProperties>
</file>

<file path=docProps/custom.xml><?xml version="1.0" encoding="utf-8"?>
<Properties xmlns="http://schemas.openxmlformats.org/officeDocument/2006/custom-properties" xmlns:vt="http://schemas.openxmlformats.org/officeDocument/2006/docPropsVTypes"/>
</file>