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82B49"/>
          <w:sz w:val="44"/>
        </w:rPr>
        <w:t>Evaluación Crítica: Floor Plan API frente al Estado del Arte y Pipeline Propio</w:t>
      </w:r>
    </w:p>
    <w:p>
      <w:pPr>
        <w:spacing w:after="360"/>
      </w:pPr>
      <w:r>
        <w:rPr>
          <w:rFonts w:ascii="Calibri" w:hAnsi="Calibri"/>
          <w:i/>
          <w:color w:val="46505F"/>
          <w:sz w:val="26"/>
        </w:rPr>
        <w:t>Segunda Ronda de Investigación (Enfoque Comercial vs. Académico y Vectorial Nativo)</w:t>
      </w:r>
    </w:p>
    <w:p>
      <w:pPr>
        <w:spacing w:after="360"/>
        <w:pBrd>
          <w:bottom w:val="single" w:sz="12" w:space="1" w:color="182B49"/>
        </w:pBrd>
      </w:pPr>
    </w:p>
    <w:p>
      <w:pPr>
        <w:spacing w:after="240"/>
      </w:pPr>
      <w:r>
        <w:t>Este documento detalla el análisis comparativo específico de la herramienta comercial Floor Plan API frente a los estándares académicos de la literatura (2021–2026) y el pipeline de extracción vectorial nativa e híbrida desarrollado para planos arquitectónicos complejos.</w:t>
      </w:r>
    </w:p>
    <w:p>
      <w:pPr>
        <w:keepNext/>
        <w:spacing w:before="320" w:after="120"/>
      </w:pPr>
      <w:r>
        <w:rPr>
          <w:rFonts w:ascii="Calibri" w:hAnsi="Calibri"/>
          <w:b/>
          <w:color w:val="182B49"/>
          <w:sz w:val="28"/>
        </w:rPr>
        <w:t>Evaluación Técnica: Floor Plan API (floorplanapi.com)</w:t>
      </w:r>
    </w:p>
    <w:p>
      <w:pPr>
        <w:spacing w:after="120"/>
      </w:pPr>
      <w:r>
        <w:rPr>
          <w:b/>
        </w:rPr>
        <w:t xml:space="preserve">• Método Real: </w:t>
      </w:r>
      <w:r>
        <w:t>Rasterización y segmentación de mapas de bits mediante una red U-Net++ optimizada para extraer máscaras binarias de muros (foreground = píxeles de muros, background = resto). No opera con vectores directos del PDF ni usa grafos tipados en su motor base; procesa imágenes ráster (PNG, JPG, WebP o páginas de PDF rasterizadas) y retorna coordenadas de segmentación o máscaras en formato PNG/JSON/GeoJSON.</w:t>
        <w:br/>
      </w:r>
      <w:r>
        <w:rPr>
          <w:b/>
        </w:rPr>
        <w:t xml:space="preserve">• Evidencia de Precisión: </w:t>
      </w:r>
      <w:r>
        <w:t>No existen papers académicos revisados por pares independientes (peer-reviewed) que validen sus métricas. Su métrica del 85.31% IoU proviene de pruebas internas de marketing sobre conjuntos de datos estandarizados, sin benchmarks públicos auditados por terceros independientes.</w:t>
        <w:br/>
      </w:r>
      <w:r>
        <w:rPr>
          <w:b/>
        </w:rPr>
        <w:t xml:space="preserve">• Dominio de Uso: </w:t>
      </w:r>
      <w:r>
        <w:t>Está diseñada para procesar planos ráster (scans, imágenes de exportación o PDFs rasterizados), orientada a PropTech, inmobiliarias, valoraciones y tasaciones automáticas. No está optimizada para la extracción topológica estricta de planos de especialidades de arquitectura compleja o industrial con tolerancias normativas normadas.</w:t>
        <w:br/>
      </w:r>
      <w:r>
        <w:rPr>
          <w:b/>
        </w:rPr>
        <w:t>• Comparación con la Literatura y Pipeline Propio:</w:t>
        <w:br/>
      </w:r>
      <w:r>
        <w:t xml:space="preserve">  - Su enfoque basado en U-Net++ sufre de los problemas clásicos de cuantización de píxeles ya superados teóricamente por la literatura de grafos (como VectorGraphNET o PolarSym).</w:t>
        <w:br/>
      </w:r>
      <w:r>
        <w:t xml:space="preserve">  - Frente al umbral de Pizarro et al. (2023) (IoU ≥ 0.77) o los F1 de FloorPlanCAD (puertas simples 0.885), una máscara binaria ciega por U-Net++ carece de la semántica de conectividad vectorial pura (explicando por qué colapsa en fragmentos inconexos en casos extremos como el plano 'Isla de Pascua').</w:t>
        <w:br/>
      </w:r>
      <w:r>
        <w:rPr>
          <w:b/>
        </w:rPr>
        <w:t xml:space="preserve">• Evaluación Final: </w:t>
      </w:r>
      <w:r>
        <w:rPr>
          <w:b/>
        </w:rPr>
        <w:t>CONFIRMA y CONTRASTA.</w:t>
        <w:br/>
      </w:r>
      <w:r>
        <w:t xml:space="preserve">  - Confirma: Depender de segmentaciones de píxeles basadas en redes tipo U-Net sin una capa estricta de unión geométrica (Union-Find / grafos) genera fallos severos ante fragmentaciones e imperfecciones de planos reales.</w:t>
        <w:br/>
      </w:r>
      <w:r>
        <w:t xml:space="preserve">  - Contrasta: Demuestra que el mercado comercial prefiere APIs simples de 'subir imagen y recibir máscara ráster' para casos de uso residenciales masivos, mientras que tu arquitectura vectorial nativa (PyMuPDF) + híbrida (Claude) prioriza la precisión de ingeniería y el cumplimiento normativo.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