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Evaluación de Floor Plan API</w:t>
        <w:br/>
        <w:t>frente al pipeline vectorial propio</w:t>
      </w:r>
    </w:p>
    <w:p>
      <w:pPr>
        <w:jc w:val="center"/>
      </w:pPr>
      <w:r>
        <w:rPr>
          <w:i/>
        </w:rPr>
        <w:t>Segunda ronda de investigación | 23 de agosto de 2026</w:t>
      </w:r>
    </w:p>
    <w:p>
      <w:pPr>
        <w:pStyle w:val="Heading1"/>
      </w:pPr>
      <w:r>
        <w:t>Dictamen</w:t>
      </w:r>
    </w:p>
    <w:p>
      <w:r>
        <w:t>Floor Plan API es, según su documentación pública, un segmentador raster de muros basado en U-Net++: recibe una imagen y devuelve una máscara binaria PNG. No hay evidencia pública reproducible de que procese PDF/CAD vectorial, extraiga puertas/ventanas/recintos en producción, ni de que su cifra publicitada de 85,31% de wall IoU haya sido verificada independientemente.</w:t>
      </w:r>
    </w:p>
    <w:p>
      <w:r>
        <w:rPr>
          <w:b/>
        </w:rPr>
        <w:t>Evaluación: CONTRASTA con el pipeline propio como baseline raster; puede COMPLEMENTARLO sólo como fallback para escaneos o planos que no posean geometría vectorial nativa. No hay evidencia suficiente para concluir que lo supere en PDF/CAD real, topología, elementos o cruce normativo.</w:t>
      </w:r>
    </w:p>
    <w:p>
      <w:pPr>
        <w:pStyle w:val="Heading1"/>
      </w:pPr>
      <w:r>
        <w:t>1. Método verificable</w:t>
      </w:r>
    </w:p>
    <w:p>
      <w:r>
        <w:rPr>
          <w:b/>
        </w:rPr>
        <w:t xml:space="preserve">Fuente: </w:t>
      </w:r>
      <w:hyperlink r:id="rId9">
        <w:r>
          <w:rPr>
            <w:color w:val="0563C1"/>
            <w:u w:val="single"/>
          </w:rPr>
          <w:t>Documentación oficial de Floor Plan API (2026)</w:t>
        </w:r>
      </w:hyperlink>
    </w:p>
    <w:p>
      <w:r>
        <w:t>La documentación declara que Floor Plan API ejecuta una U-Net++ de segmentación de muros sobre la imagen subida. La salida es un PNG monocanal alineado píxel a píxel: 255 representa muro y 0 representa fondo. Los formatos documentados son PNG, JPEG y WEBP.</w:t>
      </w:r>
    </w:p>
    <w:p>
      <w:r>
        <w:t>No se documenta entrada PDF, DWG, DXF, SVG ni acceso a paths, capas CAD, endpoints, arcos o Béziers. La operación analyze() se describe actualmente como equivalente a extract(): devuelve la misma máscara de muro; la clasificación de recintos y símbolos aparece como capacidad futura.</w:t>
      </w:r>
    </w:p>
    <w:p>
      <w:r>
        <w:rPr>
          <w:b/>
        </w:rPr>
        <w:t>Evaluación: CONTRASTA. El método documentado parte de raster+CNN; el pipeline propio parte de paths vectoriales PDF y preserva topología, geometría analítica y tipos de curva antes de aplicar modelos semánticos.</w:t>
      </w:r>
    </w:p>
    <w:p>
      <w:pPr>
        <w:pStyle w:val="Heading1"/>
      </w:pPr>
      <w:r>
        <w:t>2. Oferta y estado de producto</w:t>
      </w:r>
    </w:p>
    <w:p>
      <w:r>
        <w:rPr>
          <w:b/>
        </w:rPr>
        <w:t xml:space="preserve">Fuente: </w:t>
      </w:r>
      <w:hyperlink r:id="rId10">
        <w:r>
          <w:rPr>
            <w:color w:val="0563C1"/>
            <w:u w:val="single"/>
          </w:rPr>
          <w:t>Página de funcionalidades de Floor Plan API (2026)</w:t>
        </w:r>
      </w:hyperlink>
    </w:p>
    <w:p>
      <w:r>
        <w:t>La página comercial promete extracción de recintos, símbolos, dimensiones y exportación JSON/GeoJSON/SVG, con ejemplos que incluyen puertas, ventanas y polígonos. Sin embargo, también declara que el producto está en desarrollo activo y que no hay cuentas ni procesamiento en vivo disponibles.</w:t>
      </w:r>
    </w:p>
    <w:p>
      <w:r>
        <w:t>Esta declaración entra en tensión con la documentación que describe endpoints, claves y planes. Sin demostración reproducible o contrato técnico que separe claramente capacidades actuales de roadmap, no se debe asumir disponibilidad productiva de extracción de puertas, ventanas, recintos, áreas o formatos vectoriales.</w:t>
      </w:r>
    </w:p>
    <w:p>
      <w:r>
        <w:rPr>
          <w:b/>
        </w:rPr>
        <w:t>Evaluación: CONFIRMA la cautela metodológica. Para un pipeline normativo debe prevalecer la interfaz efectivamente documentada y probada, no las capacidades de marketing anunciadas.</w:t>
      </w:r>
    </w:p>
    <w:p>
      <w:pPr>
        <w:pStyle w:val="Heading1"/>
      </w:pPr>
      <w:r>
        <w:t>3. Precisión: 85,31% wall IoU</w:t>
      </w:r>
    </w:p>
    <w:p>
      <w:r>
        <w:rPr>
          <w:b/>
        </w:rPr>
        <w:t xml:space="preserve">Fuente: </w:t>
      </w:r>
      <w:hyperlink r:id="rId11">
        <w:r>
          <w:rPr>
            <w:color w:val="0563C1"/>
            <w:u w:val="single"/>
          </w:rPr>
          <w:t>Demo de Floor Plan API (2026)</w:t>
        </w:r>
      </w:hyperlink>
    </w:p>
    <w:p>
      <w:r>
        <w:rPr>
          <w:b/>
        </w:rPr>
        <w:t xml:space="preserve">Fuente: </w:t>
      </w:r>
      <w:hyperlink r:id="rId12">
        <w:r>
          <w:rPr>
            <w:color w:val="0563C1"/>
            <w:u w:val="single"/>
          </w:rPr>
          <w:t>Precios de Floor Plan API (2026)</w:t>
        </w:r>
      </w:hyperlink>
    </w:p>
    <w:p>
      <w:r>
        <w:t>El sitio exhibe la cifra “85.31% wall IoU · CubiCasa5K benchmark”. No se encontró paper, preprint, repositorio, model card, conjunto de predicciones, script de evaluación, protocolo de split, resolución, definición de ground truth, esquema de preprocesamiento ni postprocesamiento que permita reproducirla.</w:t>
      </w:r>
    </w:p>
    <w:p>
      <w:r>
        <w:t>Tampoco se encontró evaluación independiente, revisión técnica verificable o comparación de terceros frente a FloorPlanCAD, CubiCasa5K, RPLAN, RoomFormer, ArchCAD-400K, SymPoint, VectorGraphNET, GLSP o ResPlan. Por tanto, la cifra es una reclamación de primera parte y no debe tratarse como resultado académico verificable.</w:t>
      </w:r>
    </w:p>
    <w:p>
      <w:r>
        <w:rPr>
          <w:b/>
        </w:rPr>
        <w:t>Evaluación: La cifra no permite inferir superioridad frente al pipeline propio ni frente a métodos académicos sin un protocolo común y reproducible.</w:t>
      </w:r>
    </w:p>
    <w:p>
      <w:pPr>
        <w:pStyle w:val="Heading1"/>
      </w:pPr>
      <w:r>
        <w:t>4. Lectura frente a referencias</w:t>
      </w:r>
    </w:p>
    <w:tbl>
      <w:tblPr>
        <w:tblStyle w:val="TableGrid"/>
        <w:tblW w:type="auto" w:w="0"/>
        <w:tblLook w:firstColumn="1" w:firstRow="1" w:lastColumn="0" w:lastRow="0" w:noHBand="0" w:noVBand="1" w:val="04A0"/>
      </w:tblPr>
      <w:tblGrid>
        <w:gridCol w:w="2541"/>
        <w:gridCol w:w="2541"/>
        <w:gridCol w:w="2541"/>
        <w:gridCol w:w="2541"/>
      </w:tblGrid>
      <w:tr>
        <w:tc>
          <w:tcPr>
            <w:tcW w:type="dxa" w:w="2541"/>
          </w:tcPr>
          <w:p>
            <w:r>
              <w:t>Referencia</w:t>
            </w:r>
          </w:p>
        </w:tc>
        <w:tc>
          <w:tcPr>
            <w:tcW w:type="dxa" w:w="2541"/>
          </w:tcPr>
          <w:p>
            <w:r>
              <w:t>Resultado público</w:t>
            </w:r>
          </w:p>
        </w:tc>
        <w:tc>
          <w:tcPr>
            <w:tcW w:type="dxa" w:w="2541"/>
          </w:tcPr>
          <w:p>
            <w:r>
              <w:t>Comparabilidad</w:t>
            </w:r>
          </w:p>
        </w:tc>
        <w:tc>
          <w:tcPr>
            <w:tcW w:type="dxa" w:w="2541"/>
          </w:tcPr>
          <w:p>
            <w:r>
              <w:t>Lectura crítica</w:t>
            </w:r>
          </w:p>
        </w:tc>
      </w:tr>
      <w:tr>
        <w:tc>
          <w:tcPr>
            <w:tcW w:type="dxa" w:w="2541"/>
          </w:tcPr>
          <w:p>
            <w:r>
              <w:t>Floor Plan API</w:t>
            </w:r>
          </w:p>
        </w:tc>
        <w:tc>
          <w:tcPr>
            <w:tcW w:type="dxa" w:w="2541"/>
          </w:tcPr>
          <w:p>
            <w:r>
              <w:t>85,31% wall IoU, declaración propia sobre CubiCasa5K</w:t>
            </w:r>
          </w:p>
        </w:tc>
        <w:tc>
          <w:tcPr>
            <w:tcW w:type="dxa" w:w="2541"/>
          </w:tcPr>
          <w:p>
            <w:r>
              <w:t>Limitada</w:t>
            </w:r>
          </w:p>
        </w:tc>
        <w:tc>
          <w:tcPr>
            <w:tcW w:type="dxa" w:w="2541"/>
          </w:tcPr>
          <w:p>
            <w:r>
              <w:t>Si el protocolo fuera idéntico y reproducible, superaría en valor bruto el umbral IoU ≥ 0,77. Pero no están publicados split, código, predicciones ni método.</w:t>
            </w:r>
          </w:p>
        </w:tc>
      </w:tr>
      <w:tr>
        <w:tc>
          <w:tcPr>
            <w:tcW w:type="dxa" w:w="2541"/>
          </w:tcPr>
          <w:p>
            <w:r>
              <w:t>Pizarro et al. 2023</w:t>
            </w:r>
          </w:p>
        </w:tc>
        <w:tc>
          <w:tcPr>
            <w:tcW w:type="dxa" w:w="2541"/>
          </w:tcPr>
          <w:p>
            <w:r>
              <w:t>IoU ≥ 0,77 aceptable para extracción de muros</w:t>
            </w:r>
          </w:p>
        </w:tc>
        <w:tc>
          <w:tcPr>
            <w:tcW w:type="dxa" w:w="2541"/>
          </w:tcPr>
          <w:p>
            <w:r>
              <w:t>Sólo con protocolo común</w:t>
            </w:r>
          </w:p>
        </w:tc>
        <w:tc>
          <w:tcPr>
            <w:tcW w:type="dxa" w:w="2541"/>
          </w:tcPr>
          <w:p>
            <w:r>
              <w:t>Una coincidencia de métrica nominal no asegura misma definición de muro, resolución ni reglas de evaluación.</w:t>
            </w:r>
          </w:p>
        </w:tc>
      </w:tr>
      <w:tr>
        <w:tc>
          <w:tcPr>
            <w:tcW w:type="dxa" w:w="2541"/>
          </w:tcPr>
          <w:p>
            <w:r>
              <w:t>FloorPlanCAD: puertas</w:t>
            </w:r>
          </w:p>
        </w:tc>
        <w:tc>
          <w:tcPr>
            <w:tcW w:type="dxa" w:w="2541"/>
          </w:tcPr>
          <w:p>
            <w:r>
              <w:t>F1: simple 0,885; doble 0,796; corrediza 0,874</w:t>
            </w:r>
          </w:p>
        </w:tc>
        <w:tc>
          <w:tcPr>
            <w:tcW w:type="dxa" w:w="2541"/>
          </w:tcPr>
          <w:p>
            <w:r>
              <w:t>No</w:t>
            </w:r>
          </w:p>
        </w:tc>
        <w:tc>
          <w:tcPr>
            <w:tcW w:type="dxa" w:w="2541"/>
          </w:tcPr>
          <w:p>
            <w:r>
              <w:t>Wall IoU no mide instancias de puerta, arcos, apertura, endpoints, vínculo con muro ni asociación de recintos.</w:t>
            </w:r>
          </w:p>
        </w:tc>
      </w:tr>
      <w:tr>
        <w:tc>
          <w:tcPr>
            <w:tcW w:type="dxa" w:w="2541"/>
          </w:tcPr>
          <w:p>
            <w:r>
              <w:t>FloorPlanCAD: ventanas</w:t>
            </w:r>
          </w:p>
        </w:tc>
        <w:tc>
          <w:tcPr>
            <w:tcW w:type="dxa" w:w="2541"/>
          </w:tcPr>
          <w:p>
            <w:r>
              <w:t>Métricas vectoriales/panópticas por categoría</w:t>
            </w:r>
          </w:p>
        </w:tc>
        <w:tc>
          <w:tcPr>
            <w:tcW w:type="dxa" w:w="2541"/>
          </w:tcPr>
          <w:p>
            <w:r>
              <w:t>No</w:t>
            </w:r>
          </w:p>
        </w:tc>
        <w:tc>
          <w:tcPr>
            <w:tcW w:type="dxa" w:w="2541"/>
          </w:tcPr>
          <w:p>
            <w:r>
              <w:t>Floor Plan API no publica métricas de ventanas, AP, F1, PQ o RQ por clase.</w:t>
            </w:r>
          </w:p>
        </w:tc>
      </w:tr>
      <w:tr>
        <w:tc>
          <w:tcPr>
            <w:tcW w:type="dxa" w:w="2541"/>
          </w:tcPr>
          <w:p>
            <w:r>
              <w:t>Pipeline propio</w:t>
            </w:r>
          </w:p>
        </w:tc>
        <w:tc>
          <w:tcPr>
            <w:tcW w:type="dxa" w:w="2541"/>
          </w:tcPr>
          <w:p>
            <w:r>
              <w:t>PDF vectorial + topología + fitting + cierre + VLM semántico</w:t>
            </w:r>
          </w:p>
        </w:tc>
        <w:tc>
          <w:tcPr>
            <w:tcW w:type="dxa" w:w="2541"/>
          </w:tcPr>
          <w:p>
            <w:r>
              <w:t>Requiere benchmark común</w:t>
            </w:r>
          </w:p>
        </w:tc>
        <w:tc>
          <w:tcPr>
            <w:tcW w:type="dxa" w:w="2541"/>
          </w:tcPr>
          <w:p>
            <w:r>
              <w:t>Puede evaluarse por IoU, topología, error de área, validez de ciclos, vanos y trazabilidad normativa.</w:t>
            </w:r>
          </w:p>
        </w:tc>
      </w:tr>
    </w:tbl>
    <w:p>
      <w:pPr>
        <w:pStyle w:val="Heading1"/>
      </w:pPr>
      <w:r>
        <w:t>5. Dominio funcional observado</w:t>
      </w:r>
    </w:p>
    <w:p>
      <w:r>
        <w:t>El dominio verificable de Floor Plan API es imagen 2D de planta → máscara raster binaria de muros. No hay soporte público documentado para PDF vectorial nativo, DWG/DXF, layers, paths, arcos/Béziers, cotas, escala métrica, grafo de adyacencia, vínculo puerta–muro–recinto, área útil ni auditoría geométrica.</w:t>
      </w:r>
    </w:p>
    <w:p>
      <w:r>
        <w:t>En un caso adversarial como “Isla de Pascua”, convertir el PDF a imagen eliminaría señales que el pipeline propio puede explotar para reducir fragmentación: endpoints exactos, conectividad vectorial, arcos/Béziers, discontinuidades de vano y atributos de las primitivas.</w:t>
      </w:r>
    </w:p>
    <w:p>
      <w:r>
        <w:rPr>
          <w:b/>
        </w:rPr>
        <w:t>Evaluación: CONTRASTA. Es un segmentador de píxeles; no una alternativa publicada y auditable para extracción estructural CAD/PDF o revisión normativa.</w:t>
      </w:r>
    </w:p>
    <w:p>
      <w:pPr>
        <w:pStyle w:val="Heading1"/>
      </w:pPr>
      <w:r>
        <w:t>6. Rol potencial</w:t>
      </w:r>
    </w:p>
    <w:p>
      <w:r>
        <w:t>Floor Plan API podría ser útil como componente auxiliar, siempre sujeto a prueba local ciega, en los siguientes casos:</w:t>
      </w:r>
    </w:p>
    <w:p>
      <w:pPr>
        <w:pStyle w:val="ListBullet"/>
      </w:pPr>
      <w:r>
        <w:t>PDFs escaneados o fotografías sin geometría vectorial.</w:t>
      </w:r>
    </w:p>
    <w:p>
      <w:pPr>
        <w:pStyle w:val="ListBullet"/>
      </w:pPr>
      <w:r>
        <w:t>Planos raster limpios donde sólo se requiere una hipótesis inicial de muro.</w:t>
      </w:r>
    </w:p>
    <w:p>
      <w:pPr>
        <w:pStyle w:val="ListBullet"/>
      </w:pPr>
      <w:r>
        <w:t>Fallback cuando la extracción vectorial falla por PDF mal construido, aplanado o sin paths utilizables.</w:t>
      </w:r>
    </w:p>
    <w:p>
      <w:pPr>
        <w:pStyle w:val="ListBullet"/>
      </w:pPr>
      <w:r>
        <w:t>Señal adicional de máscara que luego se convierta a grafo y se valide mediante las reglas topológicas propias.</w:t>
      </w:r>
    </w:p>
    <w:p>
      <w:r>
        <w:t>No hay evidencia pública suficiente para reemplazar el pipeline vectorial en puertas, ventanas, recintos, mediciones, áreas útiles, trazabilidad o cruce normativo.</w:t>
      </w:r>
    </w:p>
    <w:p>
      <w:pPr>
        <w:pStyle w:val="Heading1"/>
      </w:pPr>
      <w:r>
        <w:t>7. Prueba mínima antes de adopción</w:t>
      </w:r>
    </w:p>
    <w:p>
      <w:r>
        <w:t>Comparar Floor Plan API y el pipeline propio en un conjunto ciego y estratificado por PDF vectorial limpio, PDF vectorial complejo, escaneo limpio, escaneo degradado, residencial, educación/comercio/salud, geometría no ortogonal/curva y el caso “Isla de Pascua”. Medir:</w:t>
      </w:r>
    </w:p>
    <w:p>
      <w:pPr>
        <w:pStyle w:val="ListBullet"/>
      </w:pPr>
      <w:r>
        <w:t>IoU de muros, declarando resolución y protocolo.</w:t>
      </w:r>
    </w:p>
    <w:p>
      <w:pPr>
        <w:pStyle w:val="ListBullet"/>
      </w:pPr>
      <w:r>
        <w:t>Precision, recall y F1 por tipo de puerta y ventana.</w:t>
      </w:r>
    </w:p>
    <w:p>
      <w:pPr>
        <w:pStyle w:val="ListBullet"/>
      </w:pPr>
      <w:r>
        <w:t>Exactitud de junctions y conectividad del grafo.</w:t>
      </w:r>
    </w:p>
    <w:p>
      <w:pPr>
        <w:pStyle w:val="ListBullet"/>
      </w:pPr>
      <w:r>
        <w:t>Número correcto de recintos e IoU de polígonos de recinto.</w:t>
      </w:r>
    </w:p>
    <w:p>
      <w:pPr>
        <w:pStyle w:val="ListBullet"/>
      </w:pPr>
      <w:r>
        <w:t>Error absoluto y porcentual de área; error de ancho de pasillos/escaleras.</w:t>
      </w:r>
    </w:p>
    <w:p>
      <w:pPr>
        <w:pStyle w:val="ListBullet"/>
      </w:pPr>
      <w:r>
        <w:t>Tasa de ciclos geométricamente válidos.</w:t>
      </w:r>
    </w:p>
    <w:p>
      <w:pPr>
        <w:pStyle w:val="ListBullet"/>
      </w:pPr>
      <w:r>
        <w:t>Tiempo, coste, corrección humana necesaria y trazabilidad de cada resultado.</w:t>
      </w:r>
    </w:p>
    <w:p>
      <w:pPr>
        <w:pStyle w:val="Heading1"/>
      </w:pPr>
      <w:r>
        <w:t>Conclusión operativa</w:t>
      </w:r>
    </w:p>
    <w:p>
      <w:r>
        <w:t>Floor Plan API debe tratarse como baseline comercial de segmentación raster de muros, no como evidencia de que un enfoque raster sustituya extracción PDF vectorial y topología determinista. Su métrica de 85,31% IoU sólo ganará valor comparativo si la empresa publica o permite reproducir el protocolo, o si supera una evaluación ciega sobre el mismo corpus y ground truth que el pipeline propio.</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loorplanapi.com/docs" TargetMode="External"/><Relationship Id="rId10" Type="http://schemas.openxmlformats.org/officeDocument/2006/relationships/hyperlink" Target="https://floorplanapi.com/features" TargetMode="External"/><Relationship Id="rId11" Type="http://schemas.openxmlformats.org/officeDocument/2006/relationships/hyperlink" Target="https://floorplanapi.com/demo" TargetMode="External"/><Relationship Id="rId12" Type="http://schemas.openxmlformats.org/officeDocument/2006/relationships/hyperlink" Target="https://floorplanapi.com/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