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Start-Up Chile — Línea 2 “Ignite”</w:t>
      </w:r>
    </w:p>
    <w:p>
      <w:pPr>
        <w:spacing w:after="1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Resumen: condiciones de deuda, garantía de anticipo y verificación de antecedentes del fundador</w:t>
      </w: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1. Situaciones de deuda que pueden impedir el acceso a los fondos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Pensión de alimentos —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Registro Nacional de Deudores de Pensiones de Alimentos (Ley N°21.389). Aplica solo al postulante/beneficiario PERSONA NATURAL, no a la empresa. Se revisa en 3 momentos: admisibilidad, previo a redactar el convenio, y como condición de desembolso. Consecuencia: postulación no admisible, convenio no formalizado, o término anticipado del proyecto.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Morosidad tributaria y previsional —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el beneficiario (empresa o persona natural, según quién se adjudica el fondo) debe estar al día en cotizaciones de seguro de cesantía, seguridad social, e impuesto a la renta correspondiente. Se acredita con Declaración Jurada (Anexo N°1); si el beneficiario es la empresa, la firma su representante legal respecto de la entidad, no del fundador a título personal.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Rendiciones pendientes con Corfo —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antes de formalizar, Corfo verifica que el receptor esté al día en la rendición de cuentas de otros proyectos previamente cofinanciados por Corfo.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No contemplado en las bases: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Dicom, boletín de informes comerciales, ni deudas bancarias o crediticias. No hay ninguna referencia a esto en el documento.</w:t>
      </w: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2. Garantía (“póliza”) exigida para el desembolso del anticipo — §8.4.3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Instrumentos aceptados (a elección del beneficiario):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vale vista, boleta de garantía bancaria pagadera a la vista, depósito a plazo, póliza de seguro de ejecución inmediata o a primer requerimiento, o certificado de fianza de una Institución de Garantía Recíproca (IGR).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Cobertura y vigencia: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debe cubrir el 100% del anticipo (y, desde la 2ª cuota, también los montos no rendidos); vigencia mínima de 25 días hábiles posteriores a la fecha del informe de avance/final.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Plazos: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entrega dentro de 30 días desde el requerimiento de Corfo (prorrogable 30 días más); renovación oportuna al menos 3 días hábiles antes del vencimiento. El incumplimiento habilita a Corfo a hacerla efectiva y poner término anticipado al proyecto.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Quién la otorga: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el beneficiario o, con aceptación previa de Corfo, un TERCERO (p. ej. el fundador a título personal). Los costos financieros de la garantía pueden financiarse con el subsidio y/o los aportes.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Las bases NO regulan qué antecedentes exige la aseguradora, banco o IGR a la empresa o al fundador para emitir el instrumento (estados financieros, aval solidario, garantías reales, etc.). Eso depende de la política de riesgo de cada entidad emisora y se negocia directamente con ella.</w:t>
      </w:r>
    </w:p>
    <w:p>
      <w:pPr>
        <w:pBdr>
          <w:bottom w:val="single" w:color="1F3864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3. Antecedentes / bases de datos que Corfo puede revisar sobre el fundador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Única revisión activa explícita: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Registro Nacional de Deudores de Pensiones de Alimentos — solo si el fundador postula/es beneficiario como persona natural.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Vía declaración jurada autofirmada (Corfo queda autorizado a verificar “si fuere necesario”, sin especificar la base de datos):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cumplimiento tributario y previsional (Anexo N°1); no estar afecto a prohibiciones de contratar con el Estado por libre competencia, D.L. N°211 (Anexo N°2); veracidad de la participación accionaria/social declarada por el líder de equipo (Anexo N°3).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Adicional (sobre la empresa):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inscripción y vigencia en el Registro de Personas Jurídicas Receptoras de Fondos Públicos de Corfo (Ley N°19.862); registro interno de rendiciones pendientes y convenios vigentes con Corfo.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No mencionado en las bases: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antecedentes penales, Registro Civil, Dicom, Dirección del Trabajo o Poder Judicial como consultas activas de Corfo.</w:t>
      </w:r>
    </w:p>
    <w:p>
      <w:pPr>
        <w:pBdr>
          <w:top w:val="single" w:color="AAAAAA" w:sz="2" w:space="4"/>
        </w:pBdr>
        <w:spacing w:before="160"/>
      </w:pPr>
      <w:r>
        <w:rPr>
          <w:rFonts w:ascii="Calibri" w:cs="Calibri" w:eastAsia="Calibri" w:hAnsi="Calibri"/>
          <w:i/>
          <w:iCs/>
          <w:color w:val="444444"/>
          <w:sz w:val="13"/>
          <w:szCs w:val="13"/>
        </w:rPr>
        <w:t xml:space="preserve">Fuente: Resolución Electrónica Exenta N°1457/2025, Corfo — Bases del instrumento “Start-Up Chile” (Líneas 1 Build, 2 Ignite, 3 Growth), “II. Bases Administrativas” (num. 5.3, 8.4.2, 8.4.3) y Anexos N°1–N°3. Documento elaborado como resumen orientativo; no reemplaza la lectura de las bases ni asesoría legal.</w:t>
      </w:r>
    </w:p>
    <w:sectPr>
      <w:pgSz w:w="12240" w:h="15840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2026-07-29T15:03:58.589Z</dcterms:created>
  <dcterms:modified xsi:type="dcterms:W3CDTF">2026-07-29T15:03:58.590Z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