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7236" w14:textId="77777777" w:rsidR="000B6E88" w:rsidRPr="00BD7469" w:rsidRDefault="00000000" w:rsidP="00BD7469">
      <w:pPr>
        <w:spacing w:line="360" w:lineRule="auto"/>
        <w:rPr>
          <w:rFonts w:ascii="Cambria" w:eastAsia="Cambria" w:hAnsi="Cambria"/>
          <w:b/>
          <w:bCs/>
        </w:rPr>
      </w:pPr>
      <w:r w:rsidRPr="00BD7469">
        <w:rPr>
          <w:rFonts w:ascii="Cambria" w:eastAsia="Cambria" w:hAnsi="Cambria"/>
          <w:b/>
          <w:bCs/>
        </w:rPr>
        <w:t>The Observer view on radical change being needed to overcome elitism in education</w:t>
      </w:r>
    </w:p>
    <w:p w14:paraId="40263F5C" w14:textId="77777777" w:rsidR="000B6E88" w:rsidRPr="00BD7469" w:rsidRDefault="000B6E88" w:rsidP="00BD7469">
      <w:pPr>
        <w:spacing w:line="360" w:lineRule="auto"/>
        <w:rPr>
          <w:rFonts w:ascii="Cambria" w:eastAsia="Cambria" w:hAnsi="Cambria"/>
        </w:rPr>
      </w:pPr>
    </w:p>
    <w:p w14:paraId="165979AD" w14:textId="77777777" w:rsidR="000B6E88" w:rsidRPr="00BD7469" w:rsidRDefault="00000000" w:rsidP="00BD7469">
      <w:pPr>
        <w:spacing w:line="360" w:lineRule="auto"/>
        <w:rPr>
          <w:rFonts w:ascii="Cambria" w:eastAsia="Cambria" w:hAnsi="Cambria"/>
        </w:rPr>
      </w:pPr>
      <w:r w:rsidRPr="00BD7469">
        <w:rPr>
          <w:rFonts w:ascii="Cambria" w:eastAsia="Cambria" w:hAnsi="Cambria"/>
        </w:rPr>
        <w:t>In acting as a conveyor belt to the most sought-after jobs, many schools shut out more able young people</w:t>
      </w:r>
    </w:p>
    <w:p w14:paraId="019D9FBE" w14:textId="77777777" w:rsidR="000B6E88" w:rsidRPr="00BD7469" w:rsidRDefault="000B6E88" w:rsidP="00BD7469">
      <w:pPr>
        <w:spacing w:line="360" w:lineRule="auto"/>
        <w:rPr>
          <w:rFonts w:ascii="Cambria" w:eastAsia="Cambria" w:hAnsi="Cambria"/>
        </w:rPr>
      </w:pPr>
    </w:p>
    <w:p w14:paraId="1705F0DA" w14:textId="77777777" w:rsidR="000B6E88" w:rsidRPr="00BD7469" w:rsidRDefault="00000000" w:rsidP="00BD7469">
      <w:pPr>
        <w:spacing w:line="360" w:lineRule="auto"/>
        <w:rPr>
          <w:rFonts w:ascii="Cambria" w:eastAsia="Cambria" w:hAnsi="Cambria"/>
        </w:rPr>
      </w:pPr>
      <w:r w:rsidRPr="00BD7469">
        <w:rPr>
          <w:rFonts w:ascii="Cambria" w:eastAsia="Cambria" w:hAnsi="Cambria"/>
        </w:rPr>
        <w:t>Meritocracy is one of society’s most powerful myths. It is comforting to believe we live in a fair world where people are rewarded for a mixture of talent and effort. But Britain remains an elitist country in which a socially stratified education system funnels those born to privilege into the highest-status jobs, while holding back children born to parents who have never benefited from such opportunities.</w:t>
      </w:r>
    </w:p>
    <w:p w14:paraId="59F590D8" w14:textId="77777777" w:rsidR="000B6E88" w:rsidRPr="00BD7469" w:rsidRDefault="000B6E88" w:rsidP="00BD7469">
      <w:pPr>
        <w:spacing w:line="360" w:lineRule="auto"/>
        <w:rPr>
          <w:rFonts w:ascii="Cambria" w:eastAsia="Cambria" w:hAnsi="Cambria"/>
        </w:rPr>
      </w:pPr>
    </w:p>
    <w:p w14:paraId="3CC295E8" w14:textId="77777777" w:rsidR="000B6E88" w:rsidRPr="00BD7469" w:rsidRDefault="00000000" w:rsidP="00BD7469">
      <w:pPr>
        <w:spacing w:line="360" w:lineRule="auto"/>
        <w:rPr>
          <w:rFonts w:ascii="Cambria" w:eastAsia="Cambria" w:hAnsi="Cambria"/>
        </w:rPr>
      </w:pPr>
      <w:r w:rsidRPr="00BD7469">
        <w:rPr>
          <w:rFonts w:ascii="Cambria" w:eastAsia="Cambria" w:hAnsi="Cambria"/>
        </w:rPr>
        <w:t xml:space="preserve">So Keir </w:t>
      </w:r>
      <w:proofErr w:type="spellStart"/>
      <w:r w:rsidRPr="00BD7469">
        <w:rPr>
          <w:rFonts w:ascii="Cambria" w:eastAsia="Cambria" w:hAnsi="Cambria"/>
        </w:rPr>
        <w:t>Starmer’s</w:t>
      </w:r>
      <w:proofErr w:type="spellEnd"/>
      <w:r w:rsidRPr="00BD7469">
        <w:rPr>
          <w:rFonts w:ascii="Cambria" w:eastAsia="Cambria" w:hAnsi="Cambria"/>
        </w:rPr>
        <w:t xml:space="preserve"> pledge to remove the charitable status of private schools, and requiring them to charge VAT on fees, is a welcome move. Just 7% of children attend private schools. Yet privately educated young people make up almost one in three undergraduates at the country’s most selective universities. In the jobs market, the figures are even worse: two-thirds of the senior judiciary were privately educated as were six out of 10 civil service permanent secretaries, more than half of diplomats and more than four in 10 senior media editors. This is not a product simply of their raw ability, but also of the vast resources that go into their education, the social connections and </w:t>
      </w:r>
      <w:proofErr w:type="spellStart"/>
      <w:r w:rsidRPr="00BD7469">
        <w:rPr>
          <w:rFonts w:ascii="Cambria" w:eastAsia="Cambria" w:hAnsi="Cambria"/>
        </w:rPr>
        <w:t>favours</w:t>
      </w:r>
      <w:proofErr w:type="spellEnd"/>
      <w:r w:rsidRPr="00BD7469">
        <w:rPr>
          <w:rFonts w:ascii="Cambria" w:eastAsia="Cambria" w:hAnsi="Cambria"/>
        </w:rPr>
        <w:t xml:space="preserve"> it opens up and the other forms of cultural capital it endows.</w:t>
      </w:r>
    </w:p>
    <w:p w14:paraId="0FFDC8F0" w14:textId="77777777" w:rsidR="000B6E88" w:rsidRPr="00BD7469" w:rsidRDefault="000B6E88" w:rsidP="00BD7469">
      <w:pPr>
        <w:spacing w:line="360" w:lineRule="auto"/>
        <w:rPr>
          <w:rFonts w:ascii="Cambria" w:eastAsia="Cambria" w:hAnsi="Cambria"/>
        </w:rPr>
      </w:pPr>
    </w:p>
    <w:p w14:paraId="161268FF" w14:textId="77777777" w:rsidR="000B6E88" w:rsidRPr="00BD7469" w:rsidRDefault="00000000" w:rsidP="00BD7469">
      <w:pPr>
        <w:spacing w:line="360" w:lineRule="auto"/>
        <w:rPr>
          <w:rFonts w:ascii="Cambria" w:eastAsia="Cambria" w:hAnsi="Cambria"/>
        </w:rPr>
      </w:pPr>
      <w:r w:rsidRPr="00BD7469">
        <w:rPr>
          <w:rFonts w:ascii="Cambria" w:eastAsia="Cambria" w:hAnsi="Cambria"/>
        </w:rPr>
        <w:t>Private schools create social harms. In acting as a conveyor belt to the most sought-after jobs they shut out other, more able, young people who lack those advantages. They cream young people from disproportionately affluent backgrounds out of the state system, which has a negative impact on attainment for everyone else. It is wrong in principle that these schools should accrue the tax benefits of charities.</w:t>
      </w:r>
    </w:p>
    <w:p w14:paraId="5B52AEE4" w14:textId="77777777" w:rsidR="000B6E88" w:rsidRPr="00BD7469" w:rsidRDefault="000B6E88" w:rsidP="00BD7469">
      <w:pPr>
        <w:spacing w:line="360" w:lineRule="auto"/>
        <w:rPr>
          <w:rFonts w:ascii="Cambria" w:eastAsia="Cambria" w:hAnsi="Cambria"/>
        </w:rPr>
      </w:pPr>
    </w:p>
    <w:p w14:paraId="0E0C39C5" w14:textId="77777777" w:rsidR="000B6E88" w:rsidRPr="00BD7469" w:rsidRDefault="00000000" w:rsidP="00BD7469">
      <w:pPr>
        <w:spacing w:line="360" w:lineRule="auto"/>
        <w:rPr>
          <w:rFonts w:ascii="Cambria" w:eastAsia="Cambria" w:hAnsi="Cambria"/>
        </w:rPr>
      </w:pPr>
      <w:r w:rsidRPr="00BD7469">
        <w:rPr>
          <w:rFonts w:ascii="Cambria" w:eastAsia="Cambria" w:hAnsi="Cambria"/>
        </w:rPr>
        <w:t>To combat inequality in the education system, there are bigger fish to fry. Three- and four-year-</w:t>
      </w:r>
      <w:proofErr w:type="spellStart"/>
      <w:r w:rsidRPr="00BD7469">
        <w:rPr>
          <w:rFonts w:ascii="Cambria" w:eastAsia="Cambria" w:hAnsi="Cambria"/>
        </w:rPr>
        <w:t>olds</w:t>
      </w:r>
      <w:proofErr w:type="spellEnd"/>
      <w:r w:rsidRPr="00BD7469">
        <w:rPr>
          <w:rFonts w:ascii="Cambria" w:eastAsia="Cambria" w:hAnsi="Cambria"/>
        </w:rPr>
        <w:t xml:space="preserve"> from some of the most disadvantaged homes – 80% of those in the bottom </w:t>
      </w:r>
      <w:r w:rsidRPr="00BD7469">
        <w:rPr>
          <w:rFonts w:ascii="Cambria" w:eastAsia="Cambria" w:hAnsi="Cambria"/>
        </w:rPr>
        <w:lastRenderedPageBreak/>
        <w:t>third of the income distribution – are entitled only to 15 hours of free education a week if their parents do not meet eligibility requirements for more free hours, whereas those that do get access to 30 free hours a week. This is an astonishing social injustice given the impact high-quality early years education can have for children from less affluent backgrounds, amplified by the fact that funding cuts for early years provision have had the sharpest impact on the poorest areas.</w:t>
      </w:r>
    </w:p>
    <w:p w14:paraId="06110559" w14:textId="77777777" w:rsidR="000B6E88" w:rsidRDefault="000B6E88" w:rsidP="00BD7469">
      <w:pPr>
        <w:spacing w:line="360" w:lineRule="auto"/>
        <w:rPr>
          <w:rFonts w:ascii="Cambria" w:eastAsia="Cambria" w:hAnsi="Cambria"/>
        </w:rPr>
      </w:pPr>
    </w:p>
    <w:p w14:paraId="2371E9AD" w14:textId="4FE436EF" w:rsidR="00A465FD" w:rsidRPr="00BD7469" w:rsidRDefault="00A465FD" w:rsidP="00BD7469">
      <w:pPr>
        <w:spacing w:line="360" w:lineRule="auto"/>
        <w:rPr>
          <w:rFonts w:ascii="Cambria" w:eastAsia="Cambria" w:hAnsi="Cambria" w:hint="eastAsia"/>
        </w:rPr>
      </w:pPr>
      <w:r>
        <w:rPr>
          <w:rFonts w:ascii="宋体" w:eastAsia="宋体" w:hAnsi="宋体" w:cs="宋体" w:hint="eastAsia"/>
        </w:rPr>
        <w:t>笔记</w:t>
      </w:r>
    </w:p>
    <w:p w14:paraId="4D9A4E8F" w14:textId="77777777" w:rsidR="00A465FD" w:rsidRDefault="00000000" w:rsidP="00BD7469">
      <w:pPr>
        <w:spacing w:line="360" w:lineRule="auto"/>
        <w:rPr>
          <w:rFonts w:ascii="Cambria" w:eastAsia="Cambria" w:hAnsi="Cambria"/>
        </w:rPr>
      </w:pPr>
      <w:r w:rsidRPr="00BD7469">
        <w:rPr>
          <w:rFonts w:ascii="Cambria" w:eastAsia="Cambria" w:hAnsi="Cambria"/>
        </w:rPr>
        <w:t xml:space="preserve">In the state school system, there remains too much selection – both explicit, in the form of grammar schools, and by the back door. </w:t>
      </w:r>
    </w:p>
    <w:p w14:paraId="5C364DC6" w14:textId="20E10A99" w:rsidR="00A465FD" w:rsidRDefault="00A465FD" w:rsidP="00BD7469">
      <w:pPr>
        <w:spacing w:line="360" w:lineRule="auto"/>
        <w:rPr>
          <w:rFonts w:ascii="Cambria" w:eastAsia="Cambria" w:hAnsi="Cambria" w:hint="eastAsia"/>
        </w:rPr>
      </w:pPr>
      <w:r>
        <w:rPr>
          <w:rFonts w:ascii="Cambria" w:eastAsia="Cambria" w:hAnsi="Cambria"/>
        </w:rPr>
        <w:t>B</w:t>
      </w:r>
      <w:r>
        <w:rPr>
          <w:rFonts w:ascii="Cambria" w:eastAsia="Cambria" w:hAnsi="Cambria" w:hint="eastAsia"/>
        </w:rPr>
        <w:t>oth</w:t>
      </w:r>
      <w:r>
        <w:rPr>
          <w:rFonts w:ascii="Cambria" w:eastAsia="Cambria" w:hAnsi="Cambria"/>
        </w:rPr>
        <w:t xml:space="preserve"> Explicit and by the back door </w:t>
      </w:r>
      <w:r>
        <w:rPr>
          <w:rFonts w:ascii="宋体" w:eastAsia="宋体" w:hAnsi="宋体" w:cs="宋体" w:hint="eastAsia"/>
        </w:rPr>
        <w:t>表示一种是需要严格考考试的，另一种是通过走后门的</w:t>
      </w:r>
    </w:p>
    <w:p w14:paraId="1998580A" w14:textId="24D360D3" w:rsidR="00A465FD" w:rsidRDefault="00A465FD" w:rsidP="00BD7469">
      <w:pPr>
        <w:spacing w:line="360" w:lineRule="auto"/>
        <w:rPr>
          <w:rFonts w:ascii="宋体" w:eastAsia="宋体" w:hAnsi="宋体" w:cs="宋体"/>
        </w:rPr>
      </w:pPr>
      <w:r w:rsidRPr="00BD7469">
        <w:rPr>
          <w:rFonts w:ascii="Cambria" w:eastAsia="Cambria" w:hAnsi="Cambria"/>
        </w:rPr>
        <w:t>grammar schools</w:t>
      </w:r>
      <w:r>
        <w:rPr>
          <w:rFonts w:ascii="宋体" w:eastAsia="宋体" w:hAnsi="宋体" w:cs="宋体" w:hint="eastAsia"/>
        </w:rPr>
        <w:t>：文法学校，公立学校，类似我国的重点中学</w:t>
      </w:r>
    </w:p>
    <w:p w14:paraId="34194BD3" w14:textId="77777777" w:rsidR="00A465FD" w:rsidRDefault="00A465FD" w:rsidP="00BD7469">
      <w:pPr>
        <w:spacing w:line="360" w:lineRule="auto"/>
        <w:rPr>
          <w:rFonts w:ascii="宋体" w:eastAsia="宋体" w:hAnsi="宋体" w:cs="宋体"/>
        </w:rPr>
      </w:pPr>
    </w:p>
    <w:p w14:paraId="41E03A71" w14:textId="77777777" w:rsidR="00A465FD" w:rsidRDefault="00A465FD" w:rsidP="00BD7469">
      <w:pPr>
        <w:spacing w:line="360" w:lineRule="auto"/>
        <w:rPr>
          <w:rFonts w:ascii="宋体" w:eastAsia="宋体" w:hAnsi="宋体" w:cs="宋体"/>
        </w:rPr>
      </w:pPr>
    </w:p>
    <w:p w14:paraId="6970BB6E" w14:textId="77777777" w:rsidR="00A465FD" w:rsidRPr="00A465FD" w:rsidRDefault="00A465FD" w:rsidP="00BD7469">
      <w:pPr>
        <w:spacing w:line="360" w:lineRule="auto"/>
        <w:rPr>
          <w:rFonts w:ascii="宋体" w:eastAsia="宋体" w:hAnsi="宋体" w:cs="宋体" w:hint="eastAsia"/>
        </w:rPr>
      </w:pPr>
    </w:p>
    <w:p w14:paraId="5606E572" w14:textId="39DF7BBA" w:rsidR="000B6E88" w:rsidRPr="00BD7469" w:rsidRDefault="00000000" w:rsidP="00BD7469">
      <w:pPr>
        <w:spacing w:line="360" w:lineRule="auto"/>
        <w:rPr>
          <w:rFonts w:ascii="Cambria" w:eastAsia="Cambria" w:hAnsi="Cambria"/>
        </w:rPr>
      </w:pPr>
      <w:r w:rsidRPr="00BD7469">
        <w:rPr>
          <w:rFonts w:ascii="Cambria" w:eastAsia="Cambria" w:hAnsi="Cambria"/>
        </w:rPr>
        <w:t xml:space="preserve">Where they still exist, grammar schools are disproportionately dominated by children from more advantaged backgrounds, with parents often paying for private tuition to support them through the 11-plus. Children from low-income backgrounds do worse on average in areas where there is selection at 11. Grammar schools should therefore be abolished. Beyond that, there is too much selection by postcode; the best-performing comprehensives are least likely to accept children from disadvantaged backgrounds. The Sutton Trust educational charity estimated in 2017 that living near a good comprehensive added about 20% to house prices. To open up more equitable access to the country’s best schools, children eligible for the pupil premium – a good indicator of deprivation – should be given priority in school admissions in the same way children in care are. Far more effort must be </w:t>
      </w:r>
      <w:proofErr w:type="spellStart"/>
      <w:r w:rsidRPr="00BD7469">
        <w:rPr>
          <w:rFonts w:ascii="Cambria" w:eastAsia="Cambria" w:hAnsi="Cambria"/>
        </w:rPr>
        <w:t>channelled</w:t>
      </w:r>
      <w:proofErr w:type="spellEnd"/>
      <w:r w:rsidRPr="00BD7469">
        <w:rPr>
          <w:rFonts w:ascii="Cambria" w:eastAsia="Cambria" w:hAnsi="Cambria"/>
        </w:rPr>
        <w:t xml:space="preserve"> into catch-up tuition in the wake of the pandemic; experts fear that uneven learning loss during Covid-19, with children from poorer backgrounds suffering the most, will mean there is a bigger attainment gap between richer and less affluent children in this generation. And there needs to be far less focus on structural reform – there is no evidence that the government’s academy </w:t>
      </w:r>
      <w:r w:rsidRPr="00BD7469">
        <w:rPr>
          <w:rFonts w:ascii="Cambria" w:eastAsia="Cambria" w:hAnsi="Cambria"/>
        </w:rPr>
        <w:lastRenderedPageBreak/>
        <w:t>reforms have done anything to improve standards across the board – and more on how to get the best-quality teachers to schools serving the most disadvantaged areas, to avoid teacher shortages affecting these areas the most.</w:t>
      </w:r>
    </w:p>
    <w:p w14:paraId="619D3681" w14:textId="77777777" w:rsidR="000B6E88" w:rsidRPr="00BD7469" w:rsidRDefault="000B6E88" w:rsidP="00BD7469">
      <w:pPr>
        <w:spacing w:line="360" w:lineRule="auto"/>
        <w:rPr>
          <w:rFonts w:ascii="Cambria" w:eastAsia="Cambria" w:hAnsi="Cambria"/>
        </w:rPr>
      </w:pPr>
    </w:p>
    <w:p w14:paraId="6740E8E0" w14:textId="77777777" w:rsidR="000B6E88" w:rsidRPr="00BD7469" w:rsidRDefault="00000000" w:rsidP="00BD7469">
      <w:pPr>
        <w:spacing w:line="360" w:lineRule="auto"/>
        <w:rPr>
          <w:rFonts w:ascii="Cambria" w:eastAsia="Cambria" w:hAnsi="Cambria"/>
        </w:rPr>
      </w:pPr>
      <w:r w:rsidRPr="00BD7469">
        <w:rPr>
          <w:rFonts w:ascii="Cambria" w:eastAsia="Cambria" w:hAnsi="Cambria"/>
        </w:rPr>
        <w:t xml:space="preserve">The university system in the UK is academically stratified to absurd levels, with a difference of one or two A level grades pushing a young person towards a different institution altogether. This in turn creates a very socially stratified system, in which the institution a young person attends </w:t>
      </w:r>
      <w:proofErr w:type="gramStart"/>
      <w:r w:rsidRPr="00BD7469">
        <w:rPr>
          <w:rFonts w:ascii="Cambria" w:eastAsia="Cambria" w:hAnsi="Cambria"/>
        </w:rPr>
        <w:t>is</w:t>
      </w:r>
      <w:proofErr w:type="gramEnd"/>
      <w:r w:rsidRPr="00BD7469">
        <w:rPr>
          <w:rFonts w:ascii="Cambria" w:eastAsia="Cambria" w:hAnsi="Cambria"/>
        </w:rPr>
        <w:t xml:space="preserve"> treated as a shorthand for their employment potential. As a condition of funding, universities should be set much more stringent targets to recruit more students from disadvantaged backgrounds – those eligible for the pupil premium make up just 2% of admissions to the most selective universities, despite being 13% of all young people. Oxford and Cambridge should be opened up to a much more diverse group of students – perhaps by guaranteeing a place to the top-performing students at every school, or by experimenting with admissions lotteries for all those who meet a minimum grade requirement for their subject. The taxpayer subsidy that is </w:t>
      </w:r>
      <w:proofErr w:type="spellStart"/>
      <w:r w:rsidRPr="00BD7469">
        <w:rPr>
          <w:rFonts w:ascii="Cambria" w:eastAsia="Cambria" w:hAnsi="Cambria"/>
        </w:rPr>
        <w:t>channelled</w:t>
      </w:r>
      <w:proofErr w:type="spellEnd"/>
      <w:r w:rsidRPr="00BD7469">
        <w:rPr>
          <w:rFonts w:ascii="Cambria" w:eastAsia="Cambria" w:hAnsi="Cambria"/>
        </w:rPr>
        <w:t xml:space="preserve"> to the disproportionately middle-class group of young people who go to university through </w:t>
      </w:r>
      <w:proofErr w:type="spellStart"/>
      <w:r w:rsidRPr="00BD7469">
        <w:rPr>
          <w:rFonts w:ascii="Cambria" w:eastAsia="Cambria" w:hAnsi="Cambria"/>
        </w:rPr>
        <w:t>subsidised</w:t>
      </w:r>
      <w:proofErr w:type="spellEnd"/>
      <w:r w:rsidRPr="00BD7469">
        <w:rPr>
          <w:rFonts w:ascii="Cambria" w:eastAsia="Cambria" w:hAnsi="Cambria"/>
        </w:rPr>
        <w:t xml:space="preserve"> loans, around £30,000, should be expanded to cover all young people regardless of the post-18 educational route they choose.</w:t>
      </w:r>
    </w:p>
    <w:p w14:paraId="4032B670" w14:textId="77777777" w:rsidR="000B6E88" w:rsidRPr="00BD7469" w:rsidRDefault="000B6E88" w:rsidP="00BD7469">
      <w:pPr>
        <w:spacing w:line="360" w:lineRule="auto"/>
        <w:rPr>
          <w:rFonts w:ascii="Cambria" w:eastAsia="Cambria" w:hAnsi="Cambria"/>
        </w:rPr>
      </w:pPr>
    </w:p>
    <w:p w14:paraId="748DB117" w14:textId="77777777" w:rsidR="000B6E88" w:rsidRPr="00BD7469" w:rsidRDefault="00000000" w:rsidP="00BD7469">
      <w:pPr>
        <w:spacing w:line="360" w:lineRule="auto"/>
        <w:rPr>
          <w:rFonts w:ascii="Cambria" w:eastAsia="Cambria" w:hAnsi="Cambria"/>
        </w:rPr>
      </w:pPr>
      <w:proofErr w:type="spellStart"/>
      <w:r w:rsidRPr="00BD7469">
        <w:rPr>
          <w:rFonts w:ascii="Cambria" w:eastAsia="Cambria" w:hAnsi="Cambria"/>
        </w:rPr>
        <w:t>Starmer’s</w:t>
      </w:r>
      <w:proofErr w:type="spellEnd"/>
      <w:r w:rsidRPr="00BD7469">
        <w:rPr>
          <w:rFonts w:ascii="Cambria" w:eastAsia="Cambria" w:hAnsi="Cambria"/>
        </w:rPr>
        <w:t xml:space="preserve"> pledge to impose VAT on private school fees is a start. But it could only ever play a limited role in achieving an education system that opens up opportunities to all children, regardless of the circumstances of their birth.</w:t>
      </w:r>
    </w:p>
    <w:p w14:paraId="7ACFA75A" w14:textId="77777777" w:rsidR="000B6E88" w:rsidRPr="00BD7469" w:rsidRDefault="000B6E88" w:rsidP="00BD7469">
      <w:pPr>
        <w:spacing w:line="360" w:lineRule="auto"/>
        <w:rPr>
          <w:rFonts w:ascii="Cambria" w:eastAsia="Cambria" w:hAnsi="Cambria"/>
        </w:rPr>
      </w:pPr>
    </w:p>
    <w:sectPr w:rsidR="000B6E88" w:rsidRPr="00BD7469">
      <w:headerReference w:type="even" r:id="rId7"/>
      <w:headerReference w:type="default" r:id="rId8"/>
      <w:footerReference w:type="even" r:id="rId9"/>
      <w:footerReference w:type="default" r:id="rId10"/>
      <w:headerReference w:type="first" r:id="rId11"/>
      <w:pgSz w:w="11906" w:h="16838"/>
      <w:pgMar w:top="1440" w:right="1800" w:bottom="1492"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D508C" w14:textId="77777777" w:rsidR="00824E6F" w:rsidRDefault="00824E6F">
      <w:r>
        <w:separator/>
      </w:r>
    </w:p>
  </w:endnote>
  <w:endnote w:type="continuationSeparator" w:id="0">
    <w:p w14:paraId="27E97490" w14:textId="77777777" w:rsidR="00824E6F" w:rsidRDefault="00824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48602263"/>
    </w:sdtPr>
    <w:sdtContent>
      <w:p w14:paraId="2EED6A0B" w14:textId="77777777" w:rsidR="000B6E88"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6509F685" w14:textId="77777777" w:rsidR="000B6E88" w:rsidRDefault="000B6E8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878615397"/>
    </w:sdtPr>
    <w:sdtContent>
      <w:p w14:paraId="0F2C8669" w14:textId="77777777" w:rsidR="000B6E88"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rPr>
          <w:t>1</w:t>
        </w:r>
        <w:r>
          <w:rPr>
            <w:rStyle w:val="a5"/>
          </w:rPr>
          <w:fldChar w:fldCharType="end"/>
        </w:r>
      </w:p>
    </w:sdtContent>
  </w:sdt>
  <w:p w14:paraId="3A2D262A" w14:textId="77777777" w:rsidR="000B6E88" w:rsidRDefault="000B6E8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60F35" w14:textId="77777777" w:rsidR="00824E6F" w:rsidRDefault="00824E6F">
      <w:r>
        <w:separator/>
      </w:r>
    </w:p>
  </w:footnote>
  <w:footnote w:type="continuationSeparator" w:id="0">
    <w:p w14:paraId="2FC046BE" w14:textId="77777777" w:rsidR="00824E6F" w:rsidRDefault="00824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E4C3C" w14:textId="77777777" w:rsidR="000B6E88" w:rsidRDefault="00824E6F">
    <w:pPr>
      <w:pStyle w:val="a4"/>
    </w:pPr>
    <w:r>
      <w:pict w14:anchorId="07C35A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8" o:spid="_x0000_s1027" type="#_x0000_t136" alt="" style="position:absolute;left:0;text-align:left;margin-left:0;margin-top:0;width:512.3pt;height:73.15pt;rotation:315;z-index:-251656192;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632C" w14:textId="77777777" w:rsidR="000B6E88" w:rsidRDefault="00824E6F">
    <w:pPr>
      <w:pStyle w:val="a4"/>
      <w:rPr>
        <w:rFonts w:ascii="宋体" w:eastAsia="宋体" w:hAnsi="宋体"/>
      </w:rPr>
    </w:pPr>
    <w:r>
      <w:pict w14:anchorId="45E385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9" o:spid="_x0000_s1026" type="#_x0000_t136" alt="" style="position:absolute;left:0;text-align:left;margin-left:0;margin-top:0;width:512.3pt;height:73.15pt;rotation:315;z-index:-251655168;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r w:rsidR="007F4A3D">
      <w:rPr>
        <w:rFonts w:ascii="宋体" w:eastAsia="宋体" w:hAnsi="宋体" w:hint="eastAsia"/>
      </w:rPr>
      <w:t>外刊读写营第6期</w:t>
    </w:r>
    <w:r w:rsidR="007F4A3D">
      <w:rPr>
        <w:rFonts w:ascii="宋体" w:eastAsia="宋体" w:hAnsi="宋体"/>
      </w:rPr>
      <w:ptab w:relativeTo="margin" w:alignment="center" w:leader="none"/>
    </w:r>
    <w:r w:rsidR="007F4A3D">
      <w:rPr>
        <w:rFonts w:ascii="宋体" w:eastAsia="宋体" w:hAnsi="宋体" w:hint="eastAsia"/>
      </w:rPr>
      <w:t>U</w:t>
    </w:r>
    <w:r w:rsidR="007F4A3D">
      <w:rPr>
        <w:rFonts w:ascii="宋体" w:eastAsia="宋体" w:hAnsi="宋体"/>
      </w:rPr>
      <w:t xml:space="preserve">1 </w:t>
    </w:r>
    <w:r w:rsidR="007F4A3D">
      <w:rPr>
        <w:rFonts w:ascii="宋体" w:eastAsia="宋体" w:hAnsi="宋体" w:hint="eastAsia"/>
      </w:rPr>
      <w:t>精读原文</w:t>
    </w:r>
    <w:r w:rsidR="007F4A3D">
      <w:rPr>
        <w:rFonts w:ascii="宋体" w:eastAsia="宋体" w:hAnsi="宋体"/>
      </w:rPr>
      <w:ptab w:relativeTo="margin" w:alignment="right" w:leader="none"/>
    </w:r>
    <w:r w:rsidR="007F4A3D">
      <w:rPr>
        <w:rFonts w:ascii="宋体" w:eastAsia="宋体" w:hAnsi="宋体" w:hint="eastAsia"/>
      </w:rPr>
      <w:t>公众号/B站：三言两语杂货社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B5940" w14:textId="77777777" w:rsidR="000B6E88" w:rsidRDefault="00824E6F">
    <w:pPr>
      <w:pStyle w:val="a4"/>
    </w:pPr>
    <w:r>
      <w:pict w14:anchorId="36C9E1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7" o:spid="_x0000_s1025" type="#_x0000_t136" alt="" style="position:absolute;left:0;text-align:left;margin-left:0;margin-top:0;width:512.3pt;height:73.15pt;rotation:315;z-index:-251657216;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c1YjE2YTg0ODY3NzVlYzM5ZmY3YmUwOTk2Y2Y1OGYifQ=="/>
  </w:docVars>
  <w:rsids>
    <w:rsidRoot w:val="61762E8A"/>
    <w:rsid w:val="000B6E88"/>
    <w:rsid w:val="002F552E"/>
    <w:rsid w:val="003112A7"/>
    <w:rsid w:val="003B64A9"/>
    <w:rsid w:val="006C2B79"/>
    <w:rsid w:val="007F4A3D"/>
    <w:rsid w:val="00824E6F"/>
    <w:rsid w:val="008A1A5F"/>
    <w:rsid w:val="00A23BCC"/>
    <w:rsid w:val="00A465FD"/>
    <w:rsid w:val="00BD7469"/>
    <w:rsid w:val="00C65785"/>
    <w:rsid w:val="00EE2048"/>
    <w:rsid w:val="00FC5962"/>
    <w:rsid w:val="203016F2"/>
    <w:rsid w:val="2BF076D3"/>
    <w:rsid w:val="34A75BEB"/>
    <w:rsid w:val="4934510C"/>
    <w:rsid w:val="4D777FF2"/>
    <w:rsid w:val="61762E8A"/>
    <w:rsid w:val="678E115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BED228"/>
  <w15:docId w15:val="{DAB91DCA-4EBE-A840-94A9-EAE0E97E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annotation reference" w:semiHidden="1" w:uiPriority="99" w:unhideWhenUsed="1" w:qFormat="1"/>
    <w:lsdException w:name="page number" w:semiHidden="1" w:uiPriority="99"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semiHidden/>
    <w:unhideWhenUsed/>
    <w:qFormat/>
  </w:style>
  <w:style w:type="character" w:styleId="a6">
    <w:name w:val="annotation reference"/>
    <w:basedOn w:val="a0"/>
    <w:uiPriority w:val="99"/>
    <w:semiHidden/>
    <w:unhideWhenUsed/>
    <w:qFormat/>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魏佳宁</dc:creator>
  <cp:lastModifiedBy>钊 涂</cp:lastModifiedBy>
  <cp:revision>7</cp:revision>
  <dcterms:created xsi:type="dcterms:W3CDTF">2022-06-27T09:53:00Z</dcterms:created>
  <dcterms:modified xsi:type="dcterms:W3CDTF">2023-06-13T00:34:00Z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3E5025F4F3A1453EB2EC26517C157E38</vt:lpwstr>
  </property>
</Properties>
</file>