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80"/>
        <w:ind w:firstLine="0"/>
        <w:jc w:val="center"/>
      </w:pPr>
      <w:r>
        <w:rPr>
          <w:b/>
          <w:sz w:val="30"/>
        </w:rPr>
        <w:t>关于“单次求解加速比”的专家意见回复</w:t>
      </w:r>
    </w:p>
    <w:p>
      <w:pPr>
        <w:jc w:val="both"/>
      </w:pPr>
      <w:r>
        <w:t>感谢专家指出。该指标指模型训练及迁移适配完成后，对单个器件的给定构型，在相同材料、激励和频率设置下，从结构输入至S11和远场方向图输出的一次完整计算。加速比定义为CST完成该任务的总耗时除以神经网络方法的总耗时，目标大于100。双方在统一硬件配置、相同输出要求及约定精度下比较，计时均包含预处理、求解或推理及后处理，不计离线样本生成、训练及微调耗时。拟将指标明确为“模型训练完成后，单器件给定构型电磁响应计算加速比＞100倍”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  <w:ind w:firstLine="480"/>
    </w:pPr>
    <w:rPr>
      <w:rFonts w:ascii="Noto Serif CJK SC" w:hAnsi="Noto Serif CJK SC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关于“单次求解加速比”的专家意见回复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