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Đáp án và rubric cuối kỳ môn Phân tích thiết kế hệ thống thông tin</w:t>
      </w:r>
    </w:p>
    <w:p>
      <w:pPr>
        <w:jc w:val="center"/>
      </w:pPr>
      <w:r>
        <w:rPr>
          <w:b/>
        </w:rPr>
        <w:t>Dành cho giảng viên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65D"/>
          </w:tcPr>
          <w:p>
            <w:r>
              <w:rPr>
                <w:b/>
                <w:color w:val="FFFFFF"/>
                <w:sz w:val="18"/>
              </w:rPr>
              <w:t>Phần</w:t>
            </w:r>
          </w:p>
        </w:tc>
        <w:tc>
          <w:tcPr>
            <w:tcW w:type="dxa" w:w="3389"/>
            <w:shd w:fill="17365D"/>
          </w:tcPr>
          <w:p>
            <w:r>
              <w:rPr>
                <w:b/>
                <w:color w:val="FFFFFF"/>
                <w:sz w:val="18"/>
              </w:rPr>
              <w:t>Đáp án cốt lõi</w:t>
            </w:r>
          </w:p>
        </w:tc>
        <w:tc>
          <w:tcPr>
            <w:tcW w:type="dxa" w:w="3389"/>
            <w:shd w:fill="17365D"/>
          </w:tcPr>
          <w:p>
            <w:r>
              <w:rPr>
                <w:b/>
                <w:color w:val="FFFFFF"/>
                <w:sz w:val="18"/>
              </w:rPr>
              <w:t>Điểm</w:t>
            </w:r>
          </w:p>
        </w:tc>
      </w:tr>
      <w:tr>
        <w:tc>
          <w:tcPr>
            <w:tcW w:type="dxa" w:w="3389"/>
            <w:vAlign w:val="center"/>
          </w:tcPr>
          <w:p>
            <w:r>
              <w:rPr>
                <w:sz w:val="17"/>
              </w:rPr>
              <w:t>A</w:t>
            </w:r>
          </w:p>
        </w:tc>
        <w:tc>
          <w:tcPr>
            <w:tcW w:type="dxa" w:w="3389"/>
            <w:vAlign w:val="center"/>
          </w:tcPr>
          <w:p>
            <w:r>
              <w:rPr>
                <w:sz w:val="17"/>
              </w:rPr>
              <w:t>1B, 2A, 3A, 4B, 5B.</w:t>
            </w:r>
          </w:p>
        </w:tc>
        <w:tc>
          <w:tcPr>
            <w:tcW w:type="dxa" w:w="3389"/>
            <w:vAlign w:val="center"/>
          </w:tcPr>
          <w:p>
            <w:r>
              <w:rPr>
                <w:sz w:val="17"/>
              </w:rPr>
              <w:t>2.0</w:t>
            </w:r>
          </w:p>
        </w:tc>
      </w:tr>
      <w:tr>
        <w:tc>
          <w:tcPr>
            <w:tcW w:type="dxa" w:w="3389"/>
            <w:vAlign w:val="center"/>
            <w:shd w:fill="EAF2F8"/>
          </w:tcPr>
          <w:p>
            <w:r>
              <w:rPr>
                <w:sz w:val="17"/>
              </w:rPr>
              <w:t>B1</w:t>
            </w:r>
          </w:p>
        </w:tc>
        <w:tc>
          <w:tcPr>
            <w:tcW w:type="dxa" w:w="3389"/>
            <w:vAlign w:val="center"/>
            <w:shd w:fill="EAF2F8"/>
          </w:tcPr>
          <w:p>
            <w:r>
              <w:rPr>
                <w:sz w:val="17"/>
              </w:rPr>
              <w:t>Main flow phải truy vết được từ request đến kiểm tra tồn kho, tạo Order, thanh toán và xác nhận. Sequence dùng lifeline hợp lý, message theo thời gian, loop cho dòng hàng và alt cho lỗi.</w:t>
            </w:r>
          </w:p>
        </w:tc>
        <w:tc>
          <w:tcPr>
            <w:tcW w:type="dxa" w:w="3389"/>
            <w:vAlign w:val="center"/>
            <w:shd w:fill="EAF2F8"/>
          </w:tcPr>
          <w:p>
            <w:r>
              <w:rPr>
                <w:sz w:val="17"/>
              </w:rPr>
              <w:t>3.0</w:t>
            </w:r>
          </w:p>
        </w:tc>
      </w:tr>
      <w:tr>
        <w:tc>
          <w:tcPr>
            <w:tcW w:type="dxa" w:w="3389"/>
            <w:vAlign w:val="center"/>
          </w:tcPr>
          <w:p>
            <w:r>
              <w:rPr>
                <w:sz w:val="17"/>
              </w:rPr>
              <w:t>B2</w:t>
            </w:r>
          </w:p>
        </w:tc>
        <w:tc>
          <w:tcPr>
            <w:tcW w:type="dxa" w:w="3389"/>
            <w:vAlign w:val="center"/>
          </w:tcPr>
          <w:p>
            <w:r>
              <w:rPr>
                <w:sz w:val="17"/>
              </w:rPr>
              <w:t>State hợp lý: Draft, PendingPayment, Paid, Packing, Shipping, Completed, Cancelled; có Failed hoặc quay lại PendingPayment tùy giả định. Guard chặn cancel sau Packing.</w:t>
            </w:r>
          </w:p>
        </w:tc>
        <w:tc>
          <w:tcPr>
            <w:tcW w:type="dxa" w:w="3389"/>
            <w:vAlign w:val="center"/>
          </w:tcPr>
          <w:p>
            <w:r>
              <w:rPr>
                <w:sz w:val="17"/>
              </w:rPr>
              <w:t>3.0</w:t>
            </w:r>
          </w:p>
        </w:tc>
      </w:tr>
      <w:tr>
        <w:tc>
          <w:tcPr>
            <w:tcW w:type="dxa" w:w="3389"/>
            <w:vAlign w:val="center"/>
            <w:shd w:fill="EAF2F8"/>
          </w:tcPr>
          <w:p>
            <w:r>
              <w:rPr>
                <w:sz w:val="17"/>
              </w:rPr>
              <w:t>B3</w:t>
            </w:r>
          </w:p>
        </w:tc>
        <w:tc>
          <w:tcPr>
            <w:tcW w:type="dxa" w:w="3389"/>
            <w:vAlign w:val="center"/>
            <w:shd w:fill="EAF2F8"/>
          </w:tcPr>
          <w:p>
            <w:r>
              <w:rPr>
                <w:sz w:val="17"/>
              </w:rPr>
              <w:t>Activity có lane và decision/fork; component dependency và node deployment rõ; kiểm tra mỗi message có operation, mỗi state transition có event, mỗi component được triển khai trên node.</w:t>
            </w:r>
          </w:p>
        </w:tc>
        <w:tc>
          <w:tcPr>
            <w:tcW w:type="dxa" w:w="3389"/>
            <w:vAlign w:val="center"/>
            <w:shd w:fill="EAF2F8"/>
          </w:tcPr>
          <w:p>
            <w:r>
              <w:rPr>
                <w:sz w:val="17"/>
              </w:rPr>
              <w:t>2.0</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8"/>
              </w:rPr>
              <w:t>Hạng mục</w:t>
            </w:r>
          </w:p>
        </w:tc>
        <w:tc>
          <w:tcPr>
            <w:tcW w:type="dxa" w:w="5083"/>
            <w:shd w:fill="17365D"/>
          </w:tcPr>
          <w:p>
            <w:r>
              <w:rPr>
                <w:b/>
                <w:color w:val="FFFFFF"/>
                <w:sz w:val="18"/>
              </w:rPr>
              <w:t>Điểm</w:t>
            </w:r>
          </w:p>
        </w:tc>
      </w:tr>
      <w:tr>
        <w:tc>
          <w:tcPr>
            <w:tcW w:type="dxa" w:w="5083"/>
            <w:vAlign w:val="center"/>
          </w:tcPr>
          <w:p>
            <w:r>
              <w:rPr>
                <w:sz w:val="17"/>
              </w:rPr>
              <w:t>Use Case specification</w:t>
            </w:r>
          </w:p>
        </w:tc>
        <w:tc>
          <w:tcPr>
            <w:tcW w:type="dxa" w:w="5083"/>
            <w:vAlign w:val="center"/>
          </w:tcPr>
          <w:p>
            <w:r>
              <w:rPr>
                <w:sz w:val="17"/>
              </w:rPr>
              <w:t>0.75</w:t>
            </w:r>
          </w:p>
        </w:tc>
      </w:tr>
      <w:tr>
        <w:tc>
          <w:tcPr>
            <w:tcW w:type="dxa" w:w="5083"/>
            <w:vAlign w:val="center"/>
            <w:shd w:fill="EAF2F8"/>
          </w:tcPr>
          <w:p>
            <w:r>
              <w:rPr>
                <w:sz w:val="17"/>
              </w:rPr>
              <w:t>Sequence lifeline message fragment</w:t>
            </w:r>
          </w:p>
        </w:tc>
        <w:tc>
          <w:tcPr>
            <w:tcW w:type="dxa" w:w="5083"/>
            <w:vAlign w:val="center"/>
            <w:shd w:fill="EAF2F8"/>
          </w:tcPr>
          <w:p>
            <w:r>
              <w:rPr>
                <w:sz w:val="17"/>
              </w:rPr>
              <w:t>1.75</w:t>
            </w:r>
          </w:p>
        </w:tc>
      </w:tr>
      <w:tr>
        <w:tc>
          <w:tcPr>
            <w:tcW w:type="dxa" w:w="5083"/>
            <w:vAlign w:val="center"/>
          </w:tcPr>
          <w:p>
            <w:r>
              <w:rPr>
                <w:sz w:val="17"/>
              </w:rPr>
              <w:t>State changing message</w:t>
            </w:r>
          </w:p>
        </w:tc>
        <w:tc>
          <w:tcPr>
            <w:tcW w:type="dxa" w:w="5083"/>
            <w:vAlign w:val="center"/>
          </w:tcPr>
          <w:p>
            <w:r>
              <w:rPr>
                <w:sz w:val="17"/>
              </w:rPr>
              <w:t>0.50</w:t>
            </w:r>
          </w:p>
        </w:tc>
      </w:tr>
      <w:tr>
        <w:tc>
          <w:tcPr>
            <w:tcW w:type="dxa" w:w="5083"/>
            <w:vAlign w:val="center"/>
            <w:shd w:fill="EAF2F8"/>
          </w:tcPr>
          <w:p>
            <w:r>
              <w:rPr>
                <w:sz w:val="17"/>
              </w:rPr>
              <w:t>State coverage</w:t>
            </w:r>
          </w:p>
        </w:tc>
        <w:tc>
          <w:tcPr>
            <w:tcW w:type="dxa" w:w="5083"/>
            <w:vAlign w:val="center"/>
            <w:shd w:fill="EAF2F8"/>
          </w:tcPr>
          <w:p>
            <w:r>
              <w:rPr>
                <w:sz w:val="17"/>
              </w:rPr>
              <w:t>1.25</w:t>
            </w:r>
          </w:p>
        </w:tc>
      </w:tr>
      <w:tr>
        <w:tc>
          <w:tcPr>
            <w:tcW w:type="dxa" w:w="5083"/>
            <w:vAlign w:val="center"/>
          </w:tcPr>
          <w:p>
            <w:r>
              <w:rPr>
                <w:sz w:val="17"/>
              </w:rPr>
              <w:t>Transition guard action</w:t>
            </w:r>
          </w:p>
        </w:tc>
        <w:tc>
          <w:tcPr>
            <w:tcW w:type="dxa" w:w="5083"/>
            <w:vAlign w:val="center"/>
          </w:tcPr>
          <w:p>
            <w:r>
              <w:rPr>
                <w:sz w:val="17"/>
              </w:rPr>
              <w:t>1.00</w:t>
            </w:r>
          </w:p>
        </w:tc>
      </w:tr>
      <w:tr>
        <w:tc>
          <w:tcPr>
            <w:tcW w:type="dxa" w:w="5083"/>
            <w:vAlign w:val="center"/>
            <w:shd w:fill="EAF2F8"/>
          </w:tcPr>
          <w:p>
            <w:r>
              <w:rPr>
                <w:sz w:val="17"/>
              </w:rPr>
              <w:t>Giải thích transition sai</w:t>
            </w:r>
          </w:p>
        </w:tc>
        <w:tc>
          <w:tcPr>
            <w:tcW w:type="dxa" w:w="5083"/>
            <w:vAlign w:val="center"/>
            <w:shd w:fill="EAF2F8"/>
          </w:tcPr>
          <w:p>
            <w:r>
              <w:rPr>
                <w:sz w:val="17"/>
              </w:rPr>
              <w:t>0.75</w:t>
            </w:r>
          </w:p>
        </w:tc>
      </w:tr>
      <w:tr>
        <w:tc>
          <w:tcPr>
            <w:tcW w:type="dxa" w:w="5083"/>
            <w:vAlign w:val="center"/>
          </w:tcPr>
          <w:p>
            <w:r>
              <w:rPr>
                <w:sz w:val="17"/>
              </w:rPr>
              <w:t>Activity</w:t>
            </w:r>
          </w:p>
        </w:tc>
        <w:tc>
          <w:tcPr>
            <w:tcW w:type="dxa" w:w="5083"/>
            <w:vAlign w:val="center"/>
          </w:tcPr>
          <w:p>
            <w:r>
              <w:rPr>
                <w:sz w:val="17"/>
              </w:rPr>
              <w:t>0.75</w:t>
            </w:r>
          </w:p>
        </w:tc>
      </w:tr>
      <w:tr>
        <w:tc>
          <w:tcPr>
            <w:tcW w:type="dxa" w:w="5083"/>
            <w:vAlign w:val="center"/>
            <w:shd w:fill="EAF2F8"/>
          </w:tcPr>
          <w:p>
            <w:r>
              <w:rPr>
                <w:sz w:val="17"/>
              </w:rPr>
              <w:t>Component và Deployment</w:t>
            </w:r>
          </w:p>
        </w:tc>
        <w:tc>
          <w:tcPr>
            <w:tcW w:type="dxa" w:w="5083"/>
            <w:vAlign w:val="center"/>
            <w:shd w:fill="EAF2F8"/>
          </w:tcPr>
          <w:p>
            <w:r>
              <w:rPr>
                <w:sz w:val="17"/>
              </w:rPr>
              <w:t>0.75</w:t>
            </w:r>
          </w:p>
        </w:tc>
      </w:tr>
      <w:tr>
        <w:tc>
          <w:tcPr>
            <w:tcW w:type="dxa" w:w="5083"/>
            <w:vAlign w:val="center"/>
          </w:tcPr>
          <w:p>
            <w:r>
              <w:rPr>
                <w:sz w:val="17"/>
              </w:rPr>
              <w:t>Ba kiểm tra nhất quán</w:t>
            </w:r>
          </w:p>
        </w:tc>
        <w:tc>
          <w:tcPr>
            <w:tcW w:type="dxa" w:w="5083"/>
            <w:vAlign w:val="center"/>
          </w:tcPr>
          <w:p>
            <w:r>
              <w:rPr>
                <w:sz w:val="17"/>
              </w:rPr>
              <w:t>0.50</w:t>
            </w:r>
          </w:p>
        </w:tc>
      </w:tr>
    </w:tbl>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Đáp án cuối kỳ PTTKHTTT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