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ĐÁP ÁN ĐỊNH HƯỚNG VÀ RUBRIC BÀI TẬP - LẬP TRÌNH NHÚNG &amp; HỆ THỐNG</w:t>
      </w:r>
    </w:p>
    <w:p>
      <w:r>
        <w:t>Tài liệu dành cho giảng viên</w:t>
      </w:r>
    </w:p>
    <w:p>
      <w:pPr>
        <w:pStyle w:val="Heading1"/>
      </w:pPr>
      <w:r>
        <w:t>Buổi 1 – Tổng quan vi điều khiển và GPIO</w:t>
      </w:r>
    </w:p>
    <w:p>
      <w:r>
        <w:t>Đáp án định hướng: Cấu hình đúng chiều dữ liệu (Input/Output) và sử dụng điện trở kéo lên/xuống (Pull-up/Pull-down) giúp tín hiệu nút nhấn ổn định. Chấp nhận thiết kế tương đương nếu nêu rõ giả định và không vi phạm quy tắc kỹ thuật.</w:t>
      </w:r>
    </w:p>
    <w:p>
      <w:r>
        <w:t>Rubric: Cấu hình GPIO 40; Chống dội nút nhấn 30; Lập luận 20; Trình bày 10. Chấp nhận thiết kế tương đương nếu nêu rõ giả định.</w:t>
      </w:r>
    </w:p>
    <w:p>
      <w:pPr>
        <w:pStyle w:val="Heading1"/>
      </w:pPr>
      <w:r>
        <w:t>Buổi 2 – Ngắt và Xử lý ngoại lệ (Interrupts)</w:t>
      </w:r>
    </w:p>
    <w:p>
      <w:r>
        <w:t>Đáp án định hướng: Hàm phục vụ ngắt (ISR) phải cực kỳ ngắn gọn, tránh dùng hàm delay blocking để không ảnh hưởng đến độ trễ phản hồi của hệ thống. Chấp nhận thiết kế tương đương nếu nêu rõ giả định và không vi phạm quy tắc kỹ thuật.</w:t>
      </w:r>
    </w:p>
    <w:p>
      <w:r>
        <w:t>Rubric: Cấu hình NVIC/EXTI 40; Viết hàm ISR 30; Phân tích độ trễ 20; Trình bày 10. Chấp nhận thiết kế tương đương nếu nêu rõ giả định.</w:t>
      </w:r>
    </w:p>
    <w:p>
      <w:pPr>
        <w:pStyle w:val="Heading1"/>
      </w:pPr>
      <w:r>
        <w:t>Buổi 3 – Bộ định thời Timer và PWM</w:t>
      </w:r>
    </w:p>
    <w:p>
      <w:r>
        <w:t>Đáp án định hướng: PWM điều chỉnh công suất thiết bị tải thông qua việc thay đổi chu kỳ nhiệm vụ (Duty Cycle) ở tần số cao ổn định. Chấp nhận thiết kế tương đương nếu nêu rõ giả định và không vi phạm quy tắc kỹ thuật.</w:t>
      </w:r>
    </w:p>
    <w:p>
      <w:r>
        <w:t>Rubric: Cấu hình Timer 30; Tạo tín hiệu PWM 40; Ứng dụng điều khiển 20; Trình bày 10. Chấp nhận thiết kế tương đương nếu nêu rõ giả định.</w:t>
      </w:r>
    </w:p>
    <w:p>
      <w:pPr>
        <w:pStyle w:val="Heading1"/>
      </w:pPr>
      <w:r>
        <w:t>Buổi 4 – Giao tiếp Ngoại vi: UART (Serial)</w:t>
      </w:r>
    </w:p>
    <w:p>
      <w:r>
        <w:t>Đáp án định hướng: Tốc độ truyền (Baudrate) giữa vi điều khiển và máy tính phải được thiết lập đồng bộ để tránh sai lệch khung truyền ký tự. Chấp nhận thiết kế tương đương nếu nêu rõ giả định và không vi phạm quy tắc kỹ thuật.</w:t>
      </w:r>
    </w:p>
    <w:p>
      <w:r>
        <w:t>Rubric: Cấu hình Baudrate 30; Truyền/Nhận dữ liệu 40; Xử lý bộ đệm 20; Trình bày 10. Chấp nhận thiết kế tương đương nếu nêu rõ giả định.</w:t>
      </w:r>
    </w:p>
    <w:p>
      <w:pPr>
        <w:pStyle w:val="Heading1"/>
      </w:pPr>
      <w:r>
        <w:t>Buổi 5 – Giao tiếp Ngoại vi: I2C Protocol</w:t>
      </w:r>
    </w:p>
    <w:p>
      <w:r>
        <w:t>Đáp án định hướng: I2C sử dụng 2 đường tín hiệu chung cho phép kết nối nhiều thiết bị slave với một master thông qua địa chỉ định danh 7-bit hoặc 10-bit. Chấp nhận thiết kế tương đương nếu nêu rõ giả định và không vi phạm quy tắc kỹ thuật.</w:t>
      </w:r>
    </w:p>
    <w:p>
      <w:r>
        <w:t>Rubric: Hiểu giao thức I2C 30; Cấu hình Master/Slave 30; Đọc dữ liệu cảm biến 30; Trình bày 10. Chấp nhận thiết kế tương đương nếu nêu rõ giả định.</w:t>
      </w:r>
    </w:p>
    <w:p>
      <w:pPr>
        <w:pStyle w:val="Heading1"/>
      </w:pPr>
      <w:r>
        <w:t>Buổi 6 – Giao tiếp Ngoại vi: SPI Protocol</w:t>
      </w:r>
    </w:p>
    <w:p>
      <w:r>
        <w:t>Đáp án định hướng: SPI là giao thức song công toàn phần tốc độ cao, không có cơ chế xác nhận gói tin (acknowledgment) như I2C. Chấp nhận thiết kế tương đương nếu nêu rõ giả định và không vi phạm quy tắc kỹ thuật.</w:t>
      </w:r>
    </w:p>
    <w:p>
      <w:r>
        <w:t>Rubric: Cấu hình thông số SPI 35; Truyền nhận dữ liệu 35; Tối ưu hóa tốc độ 20; Trình bày 10. Chấp nhận thiết kế tương đương nếu nêu rõ giả định.</w:t>
      </w:r>
    </w:p>
    <w:p>
      <w:pPr>
        <w:pStyle w:val="Heading1"/>
      </w:pPr>
      <w:r>
        <w:t>Buổi 7 – Chuyển đổi tín hiệu ADC và DMA</w:t>
      </w:r>
    </w:p>
    <w:p>
      <w:r>
        <w:t>Đáp án định hướng: DMA giúp chuyển dữ liệu trực tiếp từ ngoại vi vào bộ nhớ RAM mà không làm tốn tài nguyên xử lý của CPU. Chấp nhận thiết kế tương đương nếu nêu rõ giả định và không vi phạm quy tắc kỹ thuật.</w:t>
      </w:r>
    </w:p>
    <w:p>
      <w:r>
        <w:t>Rubric: Cấu hình kênh ADC 30; Kỹ thuật lấy mẫu 30; Sử dụng DMA 30; Trình bày 10. Chấp nhận thiết kế tương đương nếu nêu rõ giả định.</w:t>
      </w:r>
    </w:p>
    <w:p>
      <w:pPr>
        <w:pStyle w:val="Heading1"/>
      </w:pPr>
      <w:r>
        <w:t>Buổi 8 – Quản lý Năng lượng và Tiết kiệm Điện</w:t>
      </w:r>
    </w:p>
    <w:p>
      <w:r>
        <w:t>Đáp án định hướng: Tắt các ngoại vi không sử dụng và đưa CPU về trạng thái ngủ sâu giúp kéo dài tuổi thọ pin cho các thiết bị IoT di động. Chấp nhận thiết kế tương đương nếu nêu rõ giả định và không vi phạm quy tắc kỹ thuật.</w:t>
      </w:r>
    </w:p>
    <w:p>
      <w:r>
        <w:t>Rubric: Cấu hình chế độ Sleep 30; Tối ưu phần cứng 30; Đo đạc đánh giá 30; Trình bày 10. Chấp nhận thiết kế tương đương nếu nêu rõ giả định.</w:t>
      </w:r>
    </w:p>
    <w:p>
      <w:pPr>
        <w:pStyle w:val="Heading1"/>
      </w:pPr>
      <w:r>
        <w:t>Buổi 9 – Giao thức Mạng Nhúng: CAN Bus</w:t>
      </w:r>
    </w:p>
    <w:p>
      <w:r>
        <w:t>Đáp án định hướng: CAN Bus sử dụng tín hiệu vi sai chống nhiễu cực tốt, rất phù hợp cho các hệ thống điều khiển phân tán trong ô tô và công nghiệp. Chấp nhận thiết kế tương đương nếu nêu rõ giả định và không vi phạm quy tắc kỹ thuật.</w:t>
      </w:r>
    </w:p>
    <w:p>
      <w:r>
        <w:t>Rubric: Lý thuyết khung truyền 30; Cấu hình phần cứng CAN 40; Kiểm tra lỗi 20; Trình bày 10. Chấp nhận thiết kế tương đương nếu nêu rõ giả định.</w:t>
      </w:r>
    </w:p>
    <w:p>
      <w:pPr>
        <w:pStyle w:val="Heading1"/>
      </w:pPr>
      <w:r>
        <w:t>Buổi 10 – Lưu trữ dữ liệu Flash trong vi điều khiển</w:t>
      </w:r>
    </w:p>
    <w:p>
      <w:r>
        <w:t>Đáp án định hướng: Bộ nhớ Flash cần được xóa trang (Page Erase) trước khi ghi dữ liệu mới và có giới hạn số lần ghi/xóa vật lý. Chấp nhận thiết kế tương đương nếu nêu rõ giả định và không vi phạm quy tắc kỹ thuật.</w:t>
      </w:r>
    </w:p>
    <w:p>
      <w:r>
        <w:t>Rubric: Cơ chế Flash 30; Thuật toán xóa/ghi 40; Kiểm tra toàn vẹn 20; Trình bày 10. Chấp nhận thiết kế tương đương nếu nêu rõ giả định.</w:t>
      </w:r>
    </w:p>
    <w:p>
      <w:pPr>
        <w:pStyle w:val="Heading1"/>
      </w:pPr>
      <w:r>
        <w:t>Buổi 11 – Kỹ thuật Debug và Kiểm thử hệ thống nhúng</w:t>
      </w:r>
    </w:p>
    <w:p>
      <w:r>
        <w:t>Đáp án định hướng: Công cụ Debug phần cứng và Logic Analyzer là trợ thủ đắc lực giúp phát hiện nhanh các lỗi logic phần mềm và xung đột phần cứng. Chấp nhận thiết kế tương đương nếu nêu rõ giả định và không vi phạm quy tắc kỹ thuật.</w:t>
      </w:r>
    </w:p>
    <w:p>
      <w:r>
        <w:t>Rubric: Sử dụng công cụ Debug 40; Phân tích tín hiệu 30; Khắc phục lỗi 20; Trình bày 10. Chấp nhận thiết kế tương đương nếu nêu rõ giả định.</w:t>
      </w:r>
    </w:p>
    <w:p>
      <w:pPr>
        <w:pStyle w:val="Heading1"/>
      </w:pPr>
      <w:r>
        <w:t>Buổi 12 – Đồ án cuối kì: Hệ thống Nhúng hoàn chỉnh</w:t>
      </w:r>
    </w:p>
    <w:p>
      <w:r>
        <w:t>Đáp án định hướng: Đồ án tích hợp toàn diện các kiến thức GPIO, Ngắt, Timer, ADC và Ngoại vi truyền thông vào một sản phẩm thực tế hoàn chỉnh. Chấp nhận thiết kế tương đương nếu nêu rõ giả định và không vi phạm quy tắc kỹ thuật.</w:t>
      </w:r>
    </w:p>
    <w:p>
      <w:r>
        <w:t>Rubric: Thiết kế phần cứng 25; Lập trình tích hợp 35; Độ ổn định 25; Báo cáo &amp; Demo 15. Chấp nhận thiết kế tương đương nếu nêu rõ giả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