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Đáp án và rubric kiểm tra cuối kỳ OOP</w:t>
      </w:r>
    </w:p>
    <w:p>
      <w:pPr>
        <w:jc w:val="center"/>
      </w:pPr>
      <w:r>
        <w:rPr>
          <w:b/>
        </w:rPr>
        <w:t>Tài liệu dành cho giảng viên</w:t>
      </w:r>
    </w:p>
    <w:p>
      <w:pPr>
        <w:pStyle w:val="Heading1"/>
      </w:pPr>
      <w:r>
        <w:t>Đáp án câu 1</w:t>
      </w:r>
    </w:p>
    <w:p>
      <w:r>
        <w:t>Generic types trong Java là invariant. Dù Dog extends Animal, List&lt;Dog&gt; không extends List&lt;Animal&gt;. Khi method chỉ đọc Animal, chữ ký phù hợp là makeSounds(List&lt;? extends Animal&gt; animals). PECS: Producer Extends, Consumer Super.</w:t>
      </w:r>
    </w:p>
    <w:tbl>
      <w:tblPr>
        <w:tblStyle w:val="TableGrid"/>
        <w:tblW w:type="auto" w:w="0"/>
        <w:jc w:val="center"/>
        <w:tblLook w:firstColumn="1" w:firstRow="1" w:lastColumn="0" w:lastRow="0" w:noHBand="0" w:noVBand="1" w:val="04A0"/>
      </w:tblPr>
      <w:tblGrid>
        <w:gridCol w:w="5040"/>
        <w:gridCol w:w="5040"/>
      </w:tblGrid>
      <w:tr>
        <w:tc>
          <w:tcPr>
            <w:tcW w:type="dxa" w:w="5040"/>
            <w:shd w:fill="17365D"/>
          </w:tcPr>
          <w:p>
            <w:r>
              <w:rPr>
                <w:b/>
                <w:color w:val="FFFFFF"/>
              </w:rPr>
              <w:t>Hạng mục</w:t>
            </w:r>
          </w:p>
        </w:tc>
        <w:tc>
          <w:tcPr>
            <w:tcW w:type="dxa" w:w="5040"/>
            <w:shd w:fill="17365D"/>
          </w:tcPr>
          <w:p>
            <w:r>
              <w:rPr>
                <w:b/>
                <w:color w:val="FFFFFF"/>
              </w:rPr>
              <w:t>Điểm</w:t>
            </w:r>
          </w:p>
        </w:tc>
      </w:tr>
      <w:tr>
        <w:tc>
          <w:tcPr>
            <w:tcW w:type="dxa" w:w="5040"/>
            <w:vAlign w:val="center"/>
          </w:tcPr>
          <w:p>
            <w:r>
              <w:t>Giải thích invariance</w:t>
            </w:r>
          </w:p>
        </w:tc>
        <w:tc>
          <w:tcPr>
            <w:tcW w:type="dxa" w:w="5040"/>
            <w:vAlign w:val="center"/>
          </w:tcPr>
          <w:p>
            <w:r>
              <w:t>0.75</w:t>
            </w:r>
          </w:p>
        </w:tc>
      </w:tr>
      <w:tr>
        <w:tc>
          <w:tcPr>
            <w:tcW w:type="dxa" w:w="5040"/>
            <w:vAlign w:val="center"/>
            <w:shd w:fill="EAF2F8"/>
          </w:tcPr>
          <w:p>
            <w:r>
              <w:t>Chữ ký wildcard đúng</w:t>
            </w:r>
          </w:p>
        </w:tc>
        <w:tc>
          <w:tcPr>
            <w:tcW w:type="dxa" w:w="5040"/>
            <w:vAlign w:val="center"/>
            <w:shd w:fill="EAF2F8"/>
          </w:tcPr>
          <w:p>
            <w:r>
              <w:t>0.75</w:t>
            </w:r>
          </w:p>
        </w:tc>
      </w:tr>
      <w:tr>
        <w:tc>
          <w:tcPr>
            <w:tcW w:type="dxa" w:w="5040"/>
            <w:vAlign w:val="center"/>
          </w:tcPr>
          <w:p>
            <w:r>
              <w:t>Giải thích PECS đúng ngữ cảnh</w:t>
            </w:r>
          </w:p>
        </w:tc>
        <w:tc>
          <w:tcPr>
            <w:tcW w:type="dxa" w:w="5040"/>
            <w:vAlign w:val="center"/>
          </w:tcPr>
          <w:p>
            <w:r>
              <w:t>0.50</w:t>
            </w:r>
          </w:p>
        </w:tc>
      </w:tr>
    </w:tbl>
    <w:p>
      <w:pPr>
        <w:pStyle w:val="Heading1"/>
      </w:pPr>
      <w:r>
        <w:t>Đáp án câu 2</w:t>
      </w:r>
    </w:p>
    <w:p>
      <w:r>
        <w:t>Part có contract getPrice, findById và countSimpleParts. SimplePart là leaf. CompositePart duyệt children và gọi cùng contract; recursion xử lý cây có độ sâu bất kỳ. Validation thực hiện trước khi thêm child hoặc cập nhật state.</w:t>
      </w:r>
    </w:p>
    <w:tbl>
      <w:tblPr>
        <w:tblStyle w:val="TableGrid"/>
        <w:tblW w:type="auto" w:w="0"/>
        <w:jc w:val="center"/>
        <w:tblLook w:firstColumn="1" w:firstRow="1" w:lastColumn="0" w:lastRow="0" w:noHBand="0" w:noVBand="1" w:val="04A0"/>
      </w:tblPr>
      <w:tblGrid>
        <w:gridCol w:w="5040"/>
        <w:gridCol w:w="5040"/>
      </w:tblGrid>
      <w:tr>
        <w:tc>
          <w:tcPr>
            <w:tcW w:type="dxa" w:w="5040"/>
            <w:shd w:fill="17365D"/>
          </w:tcPr>
          <w:p>
            <w:r>
              <w:rPr>
                <w:b/>
                <w:color w:val="FFFFFF"/>
              </w:rPr>
              <w:t>Hạng mục</w:t>
            </w:r>
          </w:p>
        </w:tc>
        <w:tc>
          <w:tcPr>
            <w:tcW w:type="dxa" w:w="5040"/>
            <w:shd w:fill="17365D"/>
          </w:tcPr>
          <w:p>
            <w:r>
              <w:rPr>
                <w:b/>
                <w:color w:val="FFFFFF"/>
              </w:rPr>
              <w:t>Điểm</w:t>
            </w:r>
          </w:p>
        </w:tc>
      </w:tr>
      <w:tr>
        <w:tc>
          <w:tcPr>
            <w:tcW w:type="dxa" w:w="5040"/>
            <w:vAlign w:val="center"/>
          </w:tcPr>
          <w:p>
            <w:r>
              <w:t>Part abstraction</w:t>
            </w:r>
          </w:p>
        </w:tc>
        <w:tc>
          <w:tcPr>
            <w:tcW w:type="dxa" w:w="5040"/>
            <w:vAlign w:val="center"/>
          </w:tcPr>
          <w:p>
            <w:r>
              <w:t>0.50</w:t>
            </w:r>
          </w:p>
        </w:tc>
      </w:tr>
      <w:tr>
        <w:tc>
          <w:tcPr>
            <w:tcW w:type="dxa" w:w="5040"/>
            <w:vAlign w:val="center"/>
            <w:shd w:fill="EAF2F8"/>
          </w:tcPr>
          <w:p>
            <w:r>
              <w:t>SimplePart đúng</w:t>
            </w:r>
          </w:p>
        </w:tc>
        <w:tc>
          <w:tcPr>
            <w:tcW w:type="dxa" w:w="5040"/>
            <w:vAlign w:val="center"/>
            <w:shd w:fill="EAF2F8"/>
          </w:tcPr>
          <w:p>
            <w:r>
              <w:t>0.50</w:t>
            </w:r>
          </w:p>
        </w:tc>
      </w:tr>
      <w:tr>
        <w:tc>
          <w:tcPr>
            <w:tcW w:type="dxa" w:w="5040"/>
            <w:vAlign w:val="center"/>
          </w:tcPr>
          <w:p>
            <w:r>
              <w:t>CompositePart và collection</w:t>
            </w:r>
          </w:p>
        </w:tc>
        <w:tc>
          <w:tcPr>
            <w:tcW w:type="dxa" w:w="5040"/>
            <w:vAlign w:val="center"/>
          </w:tcPr>
          <w:p>
            <w:r>
              <w:t>0.50</w:t>
            </w:r>
          </w:p>
        </w:tc>
      </w:tr>
      <w:tr>
        <w:tc>
          <w:tcPr>
            <w:tcW w:type="dxa" w:w="5040"/>
            <w:vAlign w:val="center"/>
            <w:shd w:fill="EAF2F8"/>
          </w:tcPr>
          <w:p>
            <w:r>
              <w:t>getPrice đệ quy</w:t>
            </w:r>
          </w:p>
        </w:tc>
        <w:tc>
          <w:tcPr>
            <w:tcW w:type="dxa" w:w="5040"/>
            <w:vAlign w:val="center"/>
            <w:shd w:fill="EAF2F8"/>
          </w:tcPr>
          <w:p>
            <w:r>
              <w:t>0.50</w:t>
            </w:r>
          </w:p>
        </w:tc>
      </w:tr>
      <w:tr>
        <w:tc>
          <w:tcPr>
            <w:tcW w:type="dxa" w:w="5040"/>
            <w:vAlign w:val="center"/>
          </w:tcPr>
          <w:p>
            <w:r>
              <w:t>findById và count đệ quy</w:t>
            </w:r>
          </w:p>
        </w:tc>
        <w:tc>
          <w:tcPr>
            <w:tcW w:type="dxa" w:w="5040"/>
            <w:vAlign w:val="center"/>
          </w:tcPr>
          <w:p>
            <w:r>
              <w:t>0.50</w:t>
            </w:r>
          </w:p>
        </w:tc>
      </w:tr>
      <w:tr>
        <w:tc>
          <w:tcPr>
            <w:tcW w:type="dxa" w:w="5040"/>
            <w:vAlign w:val="center"/>
            <w:shd w:fill="EAF2F8"/>
          </w:tcPr>
          <w:p>
            <w:r>
              <w:t>Invariant và exception</w:t>
            </w:r>
          </w:p>
        </w:tc>
        <w:tc>
          <w:tcPr>
            <w:tcW w:type="dxa" w:w="5040"/>
            <w:vAlign w:val="center"/>
            <w:shd w:fill="EAF2F8"/>
          </w:tcPr>
          <w:p>
            <w:r>
              <w:t>0.50</w:t>
            </w:r>
          </w:p>
        </w:tc>
      </w:tr>
    </w:tbl>
    <w:p>
      <w:pPr>
        <w:pStyle w:val="Heading1"/>
      </w:pPr>
      <w:r>
        <w:t>Đáp án câu 3</w:t>
      </w:r>
    </w:p>
    <w:p>
      <w:r>
        <w:t>Repository tách persistence khỏi business logic. JdbcStudentRepository dùng parameter binding, ánh xạ từng row từ ResultSet và đóng resource theo try with resources. StudentService phụ thuộc interface qua constructor. Fake repository giúp test validation mà không cần database.</w:t>
      </w:r>
    </w:p>
    <w:tbl>
      <w:tblPr>
        <w:tblStyle w:val="TableGrid"/>
        <w:tblW w:type="auto" w:w="0"/>
        <w:jc w:val="center"/>
        <w:tblLook w:firstColumn="1" w:firstRow="1" w:lastColumn="0" w:lastRow="0" w:noHBand="0" w:noVBand="1" w:val="04A0"/>
      </w:tblPr>
      <w:tblGrid>
        <w:gridCol w:w="5040"/>
        <w:gridCol w:w="5040"/>
      </w:tblGrid>
      <w:tr>
        <w:tc>
          <w:tcPr>
            <w:tcW w:type="dxa" w:w="5040"/>
            <w:shd w:fill="17365D"/>
          </w:tcPr>
          <w:p>
            <w:r>
              <w:rPr>
                <w:b/>
                <w:color w:val="FFFFFF"/>
              </w:rPr>
              <w:t>Hạng mục</w:t>
            </w:r>
          </w:p>
        </w:tc>
        <w:tc>
          <w:tcPr>
            <w:tcW w:type="dxa" w:w="5040"/>
            <w:shd w:fill="17365D"/>
          </w:tcPr>
          <w:p>
            <w:r>
              <w:rPr>
                <w:b/>
                <w:color w:val="FFFFFF"/>
              </w:rPr>
              <w:t>Điểm</w:t>
            </w:r>
          </w:p>
        </w:tc>
      </w:tr>
      <w:tr>
        <w:tc>
          <w:tcPr>
            <w:tcW w:type="dxa" w:w="5040"/>
            <w:vAlign w:val="center"/>
          </w:tcPr>
          <w:p>
            <w:r>
              <w:t>Student model</w:t>
            </w:r>
          </w:p>
        </w:tc>
        <w:tc>
          <w:tcPr>
            <w:tcW w:type="dxa" w:w="5040"/>
            <w:vAlign w:val="center"/>
          </w:tcPr>
          <w:p>
            <w:r>
              <w:t>0.50</w:t>
            </w:r>
          </w:p>
        </w:tc>
      </w:tr>
      <w:tr>
        <w:tc>
          <w:tcPr>
            <w:tcW w:type="dxa" w:w="5040"/>
            <w:vAlign w:val="center"/>
            <w:shd w:fill="EAF2F8"/>
          </w:tcPr>
          <w:p>
            <w:r>
              <w:t>Repository contract</w:t>
            </w:r>
          </w:p>
        </w:tc>
        <w:tc>
          <w:tcPr>
            <w:tcW w:type="dxa" w:w="5040"/>
            <w:vAlign w:val="center"/>
            <w:shd w:fill="EAF2F8"/>
          </w:tcPr>
          <w:p>
            <w:r>
              <w:t>0.50</w:t>
            </w:r>
          </w:p>
        </w:tc>
      </w:tr>
      <w:tr>
        <w:tc>
          <w:tcPr>
            <w:tcW w:type="dxa" w:w="5040"/>
            <w:vAlign w:val="center"/>
          </w:tcPr>
          <w:p>
            <w:r>
              <w:t>PreparedStatement và parameter binding</w:t>
            </w:r>
          </w:p>
        </w:tc>
        <w:tc>
          <w:tcPr>
            <w:tcW w:type="dxa" w:w="5040"/>
            <w:vAlign w:val="center"/>
          </w:tcPr>
          <w:p>
            <w:r>
              <w:t>1.00</w:t>
            </w:r>
          </w:p>
        </w:tc>
      </w:tr>
      <w:tr>
        <w:tc>
          <w:tcPr>
            <w:tcW w:type="dxa" w:w="5040"/>
            <w:vAlign w:val="center"/>
            <w:shd w:fill="EAF2F8"/>
          </w:tcPr>
          <w:p>
            <w:r>
              <w:t>try with resources</w:t>
            </w:r>
          </w:p>
        </w:tc>
        <w:tc>
          <w:tcPr>
            <w:tcW w:type="dxa" w:w="5040"/>
            <w:vAlign w:val="center"/>
            <w:shd w:fill="EAF2F8"/>
          </w:tcPr>
          <w:p>
            <w:r>
              <w:t>0.50</w:t>
            </w:r>
          </w:p>
        </w:tc>
      </w:tr>
      <w:tr>
        <w:tc>
          <w:tcPr>
            <w:tcW w:type="dxa" w:w="5040"/>
            <w:vAlign w:val="center"/>
          </w:tcPr>
          <w:p>
            <w:r>
              <w:t>ResultSet mapping và CRUD</w:t>
            </w:r>
          </w:p>
        </w:tc>
        <w:tc>
          <w:tcPr>
            <w:tcW w:type="dxa" w:w="5040"/>
            <w:vAlign w:val="center"/>
          </w:tcPr>
          <w:p>
            <w:r>
              <w:t>0.75</w:t>
            </w:r>
          </w:p>
        </w:tc>
      </w:tr>
      <w:tr>
        <w:tc>
          <w:tcPr>
            <w:tcW w:type="dxa" w:w="5040"/>
            <w:vAlign w:val="center"/>
            <w:shd w:fill="EAF2F8"/>
          </w:tcPr>
          <w:p>
            <w:r>
              <w:t>Service validation và constructor injection</w:t>
            </w:r>
          </w:p>
        </w:tc>
        <w:tc>
          <w:tcPr>
            <w:tcW w:type="dxa" w:w="5040"/>
            <w:vAlign w:val="center"/>
            <w:shd w:fill="EAF2F8"/>
          </w:tcPr>
          <w:p>
            <w:r>
              <w:t>0.75</w:t>
            </w:r>
          </w:p>
        </w:tc>
      </w:tr>
      <w:tr>
        <w:tc>
          <w:tcPr>
            <w:tcW w:type="dxa" w:w="5040"/>
            <w:vAlign w:val="center"/>
          </w:tcPr>
          <w:p>
            <w:r>
              <w:t>Fake repository và hai test</w:t>
            </w:r>
          </w:p>
        </w:tc>
        <w:tc>
          <w:tcPr>
            <w:tcW w:type="dxa" w:w="5040"/>
            <w:vAlign w:val="center"/>
          </w:tcPr>
          <w:p>
            <w:r>
              <w:t>0.50</w:t>
            </w:r>
          </w:p>
        </w:tc>
      </w:tr>
      <w:tr>
        <w:tc>
          <w:tcPr>
            <w:tcW w:type="dxa" w:w="5040"/>
            <w:vAlign w:val="center"/>
            <w:shd w:fill="EAF2F8"/>
          </w:tcPr>
          <w:p>
            <w:r>
              <w:t>Tên, cấu trúc và xử lý lỗi</w:t>
            </w:r>
          </w:p>
        </w:tc>
        <w:tc>
          <w:tcPr>
            <w:tcW w:type="dxa" w:w="5040"/>
            <w:vAlign w:val="center"/>
            <w:shd w:fill="EAF2F8"/>
          </w:tcPr>
          <w:p>
            <w:r>
              <w:t>0.50</w:t>
            </w:r>
          </w:p>
        </w:tc>
      </w:tr>
    </w:tbl>
    <w:p>
      <w:pPr>
        <w:pStyle w:val="Heading1"/>
      </w:pPr>
      <w:r>
        <w:t>Nguyên tắc chấm</w:t>
      </w:r>
    </w:p>
    <w:p>
      <w:r>
        <w:t>Chấp nhận biến thể thiết kế nếu bảo toàn contract, type safety và separation of concerns. Code ghép trực tiếp input vào SQL không được điểm parameter binding. Test chỉ in kết quả mà không có assertion không được tính đủ điểm kiểm thử.</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Đáp án cuối kỳ OOP  Dành cho giảng viên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