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CUỐI KỲ – HỆ THỐNG VIỄN THÔNG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Đáp án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1A, 2C, 3B, 4B, 5A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2,0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8 kHz ≥ 6,8 kHz; một kênh 64 kb/s; 24 kênh = 1,536 Mb/s; line rate tăng do framing, synchronization hoặc overhead.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2,5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Fiber 10 dB; connector 1 dB; splice 0,6 dB; tổng 11,6 dB; Pr=−9,6 dBm; margin=5,4 dB. Kiểm tra dispersion/bandwidth và margin cho lão hóa/sửa chữa.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3,0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Sơ đồ khối đúng; path loss tăng theo distance và frequency trong free space; gain/LOS cải thiện link; multipath gây fading. Giải pháp: fade margin, diversity, coding, antenna alignment, adaptive modulation. Satellite phù hợp vùng xa/khó tạo LOS terrestrial hoặc cần phủ rộng.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2,5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Tiêu chí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Nyquist và PCM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1,50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TDM và overhead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1,00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Optical loss, Pr, margin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2,25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Yếu tố ngoài suy hao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Radio block và quan hệ thông số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1,25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Giải pháp reliability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Microwave–satellite trade-off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0,50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cuối kỳ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