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ĐỊNH HƯỚNG VÀ RUBRIC BÀI TẬP</w:t>
      </w:r>
    </w:p>
    <w:p>
      <w:pPr>
        <w:jc w:val="center"/>
      </w:pPr>
      <w:r>
        <w:rPr>
          <w:b/>
        </w:rPr>
        <w:t>Tài liệu dành cho giảng viên</w:t>
      </w:r>
    </w:p>
    <w:p>
      <w:pPr>
        <w:pStyle w:val="Heading1"/>
      </w:pPr>
      <w:r>
        <w:t>Buổi 1 – Sơ đồ khối</w:t>
      </w:r>
    </w:p>
    <w:p>
      <w:r>
        <w:t>Đáp án định hướng: Sơ đồ phải có đủ năm khối; transmitter thực hiện biến đổi/điều chế, receiver khôi phục bản tin; noise tác động chủ yếu trên channel.</w:t>
      </w:r>
    </w:p>
    <w:p>
      <w:r>
        <w:t>Rubric: Đúng khối 35; luồng tín hiệu 25; nhiễu/chất lượng 25; trình bày 15. Chấp nhận cách giải tương đương nếu đúng giả định và đơn vị.</w:t>
      </w:r>
    </w:p>
    <w:p>
      <w:pPr>
        <w:pStyle w:val="Heading1"/>
      </w:pPr>
      <w:r>
        <w:t>Buổi 2 – Đơn vị công suất</w:t>
      </w:r>
    </w:p>
    <w:p>
      <w:r>
        <w:t>Đáp án định hướng: 0 dBm, 10 dBm, 20 dBm; công suất ra = 20−13 = 7 dBm.</w:t>
      </w:r>
    </w:p>
    <w:p>
      <w:r>
        <w:t>Rubric: Công thức 25; đổi đơn vị 35; kết quả tuyến 30; đơn vị 10. Chấp nhận cách giải tương đương nếu đúng giả định và đơn vị.</w:t>
      </w:r>
    </w:p>
    <w:p>
      <w:pPr>
        <w:pStyle w:val="Heading1"/>
      </w:pPr>
      <w:r>
        <w:t>Buổi 3 – Chuyển mạch</w:t>
      </w:r>
    </w:p>
    <w:p>
      <w:r>
        <w:t>Đáp án định hướng: Circuit dành sẵn tài nguyên và ổn định trễ; packet dùng tài nguyên linh hoạt. Datagram định tuyến từng gói; virtual circuit thiết lập đường logic trước.</w:t>
      </w:r>
    </w:p>
    <w:p>
      <w:r>
        <w:t>Rubric: Tiêu chí 30; phân tích 35; lựa chọn 25; diễn đạt 10. Chấp nhận cách giải tương đương nếu đúng giả định và đơn vị.</w:t>
      </w:r>
    </w:p>
    <w:p>
      <w:pPr>
        <w:pStyle w:val="Heading1"/>
      </w:pPr>
      <w:r>
        <w:t>Buổi 4 – Tổng đài</w:t>
      </w:r>
    </w:p>
    <w:p>
      <w:r>
        <w:t>Đáp án định hướng: Quy trình hợp lý: off-hook/request, thu số, phân tích, chọn tuyến, rung, answer, conversation, release. T đổi time slot; S đổi đường không gian.</w:t>
      </w:r>
    </w:p>
    <w:p>
      <w:r>
        <w:t>Rubric: Call flow 40; T/S 35; thuật ngữ 15; trình bày 10. Chấp nhận cách giải tương đương nếu đúng giả định và đơn vị.</w:t>
      </w:r>
    </w:p>
    <w:p>
      <w:pPr>
        <w:pStyle w:val="Heading1"/>
      </w:pPr>
      <w:r>
        <w:t>Buổi 5 – AM</w:t>
      </w:r>
    </w:p>
    <w:p>
      <w:r>
        <w:t>Đáp án định hướng: AM có carrier fc và hai sideband fc±fm. Hệ số quá 1 gây overmodulation và méo envelope.</w:t>
      </w:r>
    </w:p>
    <w:p>
      <w:r>
        <w:t>Rubric: Phổ 35; hệ số 25; overmodulation 25; hình vẽ 15. Chấp nhận cách giải tương đương nếu đúng giả định và đơn vị.</w:t>
      </w:r>
    </w:p>
    <w:p>
      <w:pPr>
        <w:pStyle w:val="Heading1"/>
      </w:pPr>
      <w:r>
        <w:t>Buổi 6 – AM–FM</w:t>
      </w:r>
    </w:p>
    <w:p>
      <w:r>
        <w:t>Đáp án định hướng: FM thường chống nhiễu tốt hơn nhưng dùng bandwidth và mạch phức tạp hơn; phù hợp phát thanh chất lượng cao khi băng thông cho phép.</w:t>
      </w:r>
    </w:p>
    <w:p>
      <w:r>
        <w:t>Rubric: Đúng tiêu chí 45; lập luận 30; lựa chọn 15; trình bày 10. Chấp nhận cách giải tương đương nếu đúng giả định và đơn vị.</w:t>
      </w:r>
    </w:p>
    <w:p>
      <w:pPr>
        <w:pStyle w:val="Heading1"/>
      </w:pPr>
      <w:r>
        <w:t>Buổi 7 – PCM</w:t>
      </w:r>
    </w:p>
    <w:p>
      <w:r>
        <w:t>Đáp án định hướng: 8 kHz = 2×4 kHz nên vừa đạt Nyquist theo mô hình lý tưởng; Rb=8.000×8=64 kb/s.</w:t>
      </w:r>
    </w:p>
    <w:p>
      <w:r>
        <w:t>Rubric: Nyquist 30; bit rate 40; kết luận 20; đơn vị 10. Chấp nhận cách giải tương đương nếu đúng giả định và đơn vị.</w:t>
      </w:r>
    </w:p>
    <w:p>
      <w:pPr>
        <w:pStyle w:val="Heading1"/>
      </w:pPr>
      <w:r>
        <w:t>Buổi 8 – Ghép kênh</w:t>
      </w:r>
    </w:p>
    <w:p>
      <w:r>
        <w:t>Đáp án định hướng: Payload=30×64=1,92 Mb/s; thực tế cao hơn do framing/overhead; đồng bộ giúp xác định đầu khung và time slot.</w:t>
      </w:r>
    </w:p>
    <w:p>
      <w:r>
        <w:t>Rubric: Tốc độ 45; đồng bộ 30; giả định 15; đơn vị 10. Chấp nhận cách giải tương đương nếu đúng giả định và đơn vị.</w:t>
      </w:r>
    </w:p>
    <w:p>
      <w:pPr>
        <w:pStyle w:val="Heading1"/>
      </w:pPr>
      <w:r>
        <w:t>Buổi 9 – Sợi quang</w:t>
      </w:r>
    </w:p>
    <w:p>
      <w:r>
        <w:t>Đáp án định hướng: Single-mode có lõi nhỏ, một mode và dispersion thấp; multimode GI giảm modal dispersion so với SI; backbone dài/tốc độ cao ưu tiên single-mode.</w:t>
      </w:r>
    </w:p>
    <w:p>
      <w:r>
        <w:t>Rubric: Cấu trúc 30; tán sắc 25; lựa chọn 30; thuật ngữ 15. Chấp nhận cách giải tương đương nếu đúng giả định và đơn vị.</w:t>
      </w:r>
    </w:p>
    <w:p>
      <w:pPr>
        <w:pStyle w:val="Heading1"/>
      </w:pPr>
      <w:r>
        <w:t>Buổi 10 – Power budget quang</w:t>
      </w:r>
    </w:p>
    <w:p>
      <w:r>
        <w:t>Đáp án định hướng: Loss=5+1+0,4=6,4 dB; Pr=−6,4 dBm; margin=−6,4−(−12)=5,6 dB.</w:t>
      </w:r>
    </w:p>
    <w:p>
      <w:r>
        <w:t>Rubric: Loss 35; Pr 25; margin 25; kết luận 15. Chấp nhận cách giải tương đương nếu đúng giả định và đơn vị.</w:t>
      </w:r>
    </w:p>
    <w:p>
      <w:pPr>
        <w:pStyle w:val="Heading1"/>
      </w:pPr>
      <w:r>
        <w:t>Buổi 11 – Radio link</w:t>
      </w:r>
    </w:p>
    <w:p>
      <w:r>
        <w:t>Đáp án định hướng: Khoảng cách/tần số tăng thường làm path loss tăng; antenna gain cải thiện mức thu; fading tạo biến thiên. Có thể dùng diversity, coding, fade margin hoặc tối ưu antenna.</w:t>
      </w:r>
    </w:p>
    <w:p>
      <w:r>
        <w:t>Rubric: Quan hệ 35; fading 25; giải pháp 30; trình bày 10. Chấp nhận cách giải tương đương nếu đúng giả định và đơn vị.</w:t>
      </w:r>
    </w:p>
    <w:p>
      <w:pPr>
        <w:pStyle w:val="Heading1"/>
      </w:pPr>
      <w:r>
        <w:t>Buổi 12 – Thiết kế tích hợp</w:t>
      </w:r>
    </w:p>
    <w:p>
      <w:r>
        <w:t>Đáp án định hướng: Chấp nhận phương án có giả định rõ. Microwave cần LOS/repeater; satellite phủ xa nhưng trễ và chi phí khác. Phải có link budget và tiêu chí availability/BER.</w:t>
      </w:r>
    </w:p>
    <w:p>
      <w:r>
        <w:t>Rubric: Kiến trúc 25; giả định 20; trade-off 30; tiêu chí 15; trình bày 10. Chấp nhận cách giải tương đương nếu đúng giả định và đơn vị.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Đáp án bài tập Hệ thống viễn thông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