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BBB" w:rsidRPr="00867BBB" w:rsidRDefault="00867BBB" w:rsidP="00867BBB">
      <w:pPr>
        <w:spacing w:before="100" w:beforeAutospacing="1" w:after="100" w:afterAutospacing="1"/>
        <w:outlineLvl w:val="2"/>
        <w:rPr>
          <w:b/>
          <w:bCs/>
        </w:rPr>
      </w:pPr>
      <w:r w:rsidRPr="00867BBB">
        <w:rPr>
          <w:b/>
          <w:bCs/>
        </w:rPr>
        <w:t>Proof of Stake</w:t>
      </w:r>
    </w:p>
    <w:p w:rsidR="00867BBB" w:rsidRPr="00867BBB" w:rsidRDefault="008F0F5C" w:rsidP="00867BBB">
      <w:pPr>
        <w:spacing w:before="100" w:beforeAutospacing="1" w:after="100" w:afterAutospacing="1"/>
        <w:rPr>
          <w:spacing w:val="5"/>
        </w:rPr>
      </w:pPr>
      <w:hyperlink r:id="rId5" w:tgtFrame="_blank" w:history="1">
        <w:r w:rsidR="00867BBB" w:rsidRPr="00867BBB">
          <w:rPr>
            <w:b/>
            <w:bCs/>
            <w:spacing w:val="5"/>
          </w:rPr>
          <w:t>Proof of Stake</w:t>
        </w:r>
      </w:hyperlink>
      <w:r w:rsidR="00867BBB" w:rsidRPr="00867BBB">
        <w:rPr>
          <w:b/>
          <w:bCs/>
          <w:spacing w:val="5"/>
        </w:rPr>
        <w:t> </w:t>
      </w:r>
      <w:r w:rsidR="00867BBB" w:rsidRPr="00867BBB">
        <w:rPr>
          <w:spacing w:val="5"/>
        </w:rPr>
        <w:t>(PoS),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 </w:t>
      </w:r>
    </w:p>
    <w:p w:rsidR="00867BBB" w:rsidRPr="00867BBB" w:rsidRDefault="00867BBB" w:rsidP="00867BBB">
      <w:pPr>
        <w:jc w:val="center"/>
        <w:rPr>
          <w:spacing w:val="5"/>
        </w:rPr>
      </w:pPr>
      <w:r w:rsidRPr="00867BBB">
        <w:rPr>
          <w:noProof/>
          <w:spacing w:val="5"/>
          <w:bdr w:val="none" w:sz="0" w:space="0" w:color="auto" w:frame="1"/>
        </w:rPr>
        <w:drawing>
          <wp:inline distT="0" distB="0" distL="0" distR="0" wp14:anchorId="5D823E58" wp14:editId="689E931A">
            <wp:extent cx="4754880" cy="4975860"/>
            <wp:effectExtent l="0" t="0" r="7620" b="0"/>
            <wp:docPr id="3" name="Picture 3" descr="https://lh4.googleusercontent.com/PfCUtG1XW-AOE5YhhQcULqrptyfB5c4LlPW5aYhzxAENAUGwJMRvIGaWattNd-_O35wUst57AUFZXKCyho-kKwKg_vll5Z49Y8y1dyA5_rkljjKKwCGtTbgVCqok_n9m4foG_7Vty8FkAIimVdW-2uvlMSdfKIC_lyfFGRIACV1x2OCDQk3656zC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fCUtG1XW-AOE5YhhQcULqrptyfB5c4LlPW5aYhzxAENAUGwJMRvIGaWattNd-_O35wUst57AUFZXKCyho-kKwKg_vll5Z49Y8y1dyA5_rkljjKKwCGtTbgVCqok_n9m4foG_7Vty8FkAIimVdW-2uvlMSdfKIC_lyfFGRIACV1x2OCDQk3656zC9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4975860"/>
                    </a:xfrm>
                    <a:prstGeom prst="rect">
                      <a:avLst/>
                    </a:prstGeom>
                    <a:noFill/>
                    <a:ln>
                      <a:noFill/>
                    </a:ln>
                  </pic:spPr>
                </pic:pic>
              </a:graphicData>
            </a:graphic>
          </wp:inline>
        </w:drawing>
      </w:r>
    </w:p>
    <w:p w:rsidR="00867BBB" w:rsidRPr="00867BBB" w:rsidRDefault="00867BBB" w:rsidP="00867BBB">
      <w:pPr>
        <w:spacing w:before="100" w:beforeAutospacing="1" w:after="100" w:afterAutospacing="1"/>
        <w:outlineLvl w:val="2"/>
        <w:rPr>
          <w:b/>
          <w:bCs/>
        </w:rPr>
      </w:pPr>
      <w:r w:rsidRPr="00867BBB">
        <w:rPr>
          <w:b/>
          <w:bCs/>
        </w:rPr>
        <w:t>Delegated Proof of Stake (DPoS)</w:t>
      </w:r>
    </w:p>
    <w:p w:rsidR="00867BBB" w:rsidRPr="00867BBB" w:rsidRDefault="008F0F5C" w:rsidP="00867BBB">
      <w:pPr>
        <w:spacing w:before="100" w:beforeAutospacing="1" w:after="100" w:afterAutospacing="1"/>
        <w:rPr>
          <w:spacing w:val="5"/>
        </w:rPr>
      </w:pPr>
      <w:hyperlink r:id="rId7" w:tgtFrame="_blank" w:history="1">
        <w:r w:rsidR="00867BBB" w:rsidRPr="00867BBB">
          <w:rPr>
            <w:b/>
            <w:bCs/>
            <w:spacing w:val="5"/>
          </w:rPr>
          <w:t>Delegated Proof of Stake</w:t>
        </w:r>
      </w:hyperlink>
      <w:r w:rsidR="00867BBB" w:rsidRPr="00867BBB">
        <w:rPr>
          <w:b/>
          <w:bCs/>
          <w:spacing w:val="5"/>
        </w:rPr>
        <w:t> (DPoS)</w:t>
      </w:r>
      <w:r w:rsidR="00867BBB" w:rsidRPr="00867BBB">
        <w:rPr>
          <w:spacing w:val="5"/>
        </w:rPr>
        <w:t>, hay còn gọi là bằng chứng uỷ quyền cổ phần, là phiên bản phát triển của Proof of Stake.</w:t>
      </w:r>
    </w:p>
    <w:p w:rsidR="00867BBB" w:rsidRPr="00867BBB" w:rsidRDefault="00867BBB" w:rsidP="00867BBB">
      <w:pPr>
        <w:spacing w:before="100" w:beforeAutospacing="1" w:after="100" w:afterAutospacing="1"/>
        <w:rPr>
          <w:spacing w:val="5"/>
        </w:rPr>
      </w:pPr>
      <w:r w:rsidRPr="00867BBB">
        <w:rPr>
          <w:spacing w:val="5"/>
        </w:rPr>
        <w:t>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 </w:t>
      </w:r>
    </w:p>
    <w:p w:rsidR="00867BBB" w:rsidRPr="00867BBB" w:rsidRDefault="00867BBB" w:rsidP="00867BBB">
      <w:r w:rsidRPr="00867BBB">
        <w:rPr>
          <w:noProof/>
          <w:bdr w:val="none" w:sz="0" w:space="0" w:color="auto" w:frame="1"/>
        </w:rPr>
        <w:lastRenderedPageBreak/>
        <w:drawing>
          <wp:inline distT="0" distB="0" distL="0" distR="0" wp14:anchorId="0368035E" wp14:editId="4855DA7B">
            <wp:extent cx="5730240" cy="3230880"/>
            <wp:effectExtent l="0" t="0" r="3810" b="7620"/>
            <wp:docPr id="2" name="Picture 2" descr="https://lh3.googleusercontent.com/HsKU9YC8tL6WUZjdbLrAAXUUso7OAeNCroUxukSPWps9sr42b-bcA_21Mvr98KkJbOUt6xsnzhrVTQJb1uMsJQzMeBCjxy33zSsNPATt4BW44w-76etetWcZILDVucz-69NCpHVSXzeKUVszapEF-gCf2rUi_BikDoxPyPb0WAUkOWRtpcyltH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HsKU9YC8tL6WUZjdbLrAAXUUso7OAeNCroUxukSPWps9sr42b-bcA_21Mvr98KkJbOUt6xsnzhrVTQJb1uMsJQzMeBCjxy33zSsNPATt4BW44w-76etetWcZILDVucz-69NCpHVSXzeKUVszapEF-gCf2rUi_BikDoxPyPb0WAUkOWRtpcyltH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rsidR="00867BBB" w:rsidRPr="00867BBB" w:rsidRDefault="00867BBB" w:rsidP="00867BBB">
      <w:pPr>
        <w:spacing w:before="100" w:beforeAutospacing="1" w:after="100" w:afterAutospacing="1"/>
        <w:outlineLvl w:val="2"/>
        <w:rPr>
          <w:b/>
          <w:bCs/>
        </w:rPr>
      </w:pPr>
      <w:bookmarkStart w:id="0" w:name="_GoBack"/>
      <w:bookmarkEnd w:id="0"/>
      <w:r w:rsidRPr="00867BBB">
        <w:rPr>
          <w:b/>
          <w:bCs/>
        </w:rPr>
        <w:t>Proof of Authority (PoA)</w:t>
      </w:r>
    </w:p>
    <w:p w:rsidR="00867BBB" w:rsidRPr="00867BBB" w:rsidRDefault="008F0F5C" w:rsidP="00867BBB">
      <w:pPr>
        <w:spacing w:before="100" w:beforeAutospacing="1" w:after="100" w:afterAutospacing="1"/>
        <w:rPr>
          <w:spacing w:val="5"/>
        </w:rPr>
      </w:pPr>
      <w:hyperlink r:id="rId9" w:tgtFrame="_blank" w:history="1">
        <w:r w:rsidR="00867BBB" w:rsidRPr="00867BBB">
          <w:rPr>
            <w:b/>
            <w:bCs/>
            <w:spacing w:val="5"/>
          </w:rPr>
          <w:t>Proof of Authority</w:t>
        </w:r>
      </w:hyperlink>
      <w:r w:rsidR="00867BBB" w:rsidRPr="00867BBB">
        <w:rPr>
          <w:spacing w:val="5"/>
        </w:rPr>
        <w:t>,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 </w:t>
      </w:r>
    </w:p>
    <w:p w:rsidR="00867BBB" w:rsidRPr="00867BBB" w:rsidRDefault="00867BBB" w:rsidP="00867BBB">
      <w:pPr>
        <w:spacing w:before="100" w:beforeAutospacing="1" w:after="100" w:afterAutospacing="1"/>
        <w:rPr>
          <w:spacing w:val="5"/>
        </w:rPr>
      </w:pPr>
      <w:r w:rsidRPr="00867BBB">
        <w:rPr>
          <w:spacing w:val="5"/>
        </w:rPr>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rsidR="00867BBB" w:rsidRPr="00867BBB" w:rsidRDefault="00867BBB" w:rsidP="00867BBB">
      <w:r w:rsidRPr="00867BBB">
        <w:rPr>
          <w:noProof/>
          <w:bdr w:val="none" w:sz="0" w:space="0" w:color="auto" w:frame="1"/>
        </w:rPr>
        <w:lastRenderedPageBreak/>
        <w:drawing>
          <wp:inline distT="0" distB="0" distL="0" distR="0" wp14:anchorId="2D9BA441" wp14:editId="46F92156">
            <wp:extent cx="5730240" cy="3230880"/>
            <wp:effectExtent l="0" t="0" r="3810" b="7620"/>
            <wp:docPr id="1" name="Picture 1" descr="https://lh4.googleusercontent.com/Ig6eES_QOLm-9-8ipeNeBoRQoQw1v-gXOllUi4FR8C7k8Oxsh0yDrZurAB8fYfWWQ_vAbS4k4n4u7XQqgsLdahmsIendwBjD0iR5mHBJg8g-manNH63uWPoyUYDh7O46PVjYdRcUVJzjnl_YbbjXtfmF9XDuQX1d7m0AFu4rtQDPUKrXx_bPdr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g6eES_QOLm-9-8ipeNeBoRQoQw1v-gXOllUi4FR8C7k8Oxsh0yDrZurAB8fYfWWQ_vAbS4k4n4u7XQqgsLdahmsIendwBjD0iR5mHBJg8g-manNH63uWPoyUYDh7O46PVjYdRcUVJzjnl_YbbjXtfmF9XDuQX1d7m0AFu4rtQDPUKrXx_bPdrQ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rsidR="00867BBB" w:rsidRPr="00867BBB" w:rsidRDefault="00867BBB" w:rsidP="00867BBB">
      <w:pPr>
        <w:spacing w:before="100" w:beforeAutospacing="1" w:after="100" w:afterAutospacing="1"/>
        <w:outlineLvl w:val="2"/>
        <w:rPr>
          <w:b/>
          <w:bCs/>
        </w:rPr>
      </w:pPr>
      <w:r w:rsidRPr="00867BBB">
        <w:rPr>
          <w:b/>
          <w:bCs/>
        </w:rPr>
        <w:t>Proof of Contribution (PoC)</w:t>
      </w:r>
    </w:p>
    <w:p w:rsidR="00867BBB" w:rsidRPr="00867BBB" w:rsidRDefault="00867BBB" w:rsidP="00867BBB">
      <w:pPr>
        <w:spacing w:before="100" w:beforeAutospacing="1" w:after="100" w:afterAutospacing="1"/>
        <w:rPr>
          <w:spacing w:val="5"/>
        </w:rPr>
      </w:pPr>
      <w:r w:rsidRPr="00867BBB">
        <w:rPr>
          <w:spacing w:val="5"/>
        </w:rP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rsidR="00867BBB" w:rsidRPr="00867BBB" w:rsidRDefault="00867BBB" w:rsidP="00867BBB">
      <w:pPr>
        <w:spacing w:before="100" w:beforeAutospacing="1" w:after="100" w:afterAutospacing="1"/>
        <w:rPr>
          <w:spacing w:val="5"/>
        </w:rPr>
      </w:pPr>
      <w:r w:rsidRPr="00867BBB">
        <w:rPr>
          <w:spacing w:val="5"/>
        </w:rPr>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rsidR="00867BBB" w:rsidRPr="00867BBB" w:rsidRDefault="00867BBB" w:rsidP="00867BBB">
      <w:pPr>
        <w:spacing w:before="100" w:beforeAutospacing="1" w:after="100" w:afterAutospacing="1"/>
        <w:outlineLvl w:val="2"/>
        <w:rPr>
          <w:b/>
          <w:bCs/>
        </w:rPr>
      </w:pPr>
      <w:r w:rsidRPr="00867BBB">
        <w:rPr>
          <w:b/>
          <w:bCs/>
        </w:rPr>
        <w:t>Proof of Reputation (PoR)</w:t>
      </w:r>
    </w:p>
    <w:p w:rsidR="00867BBB" w:rsidRPr="00867BBB" w:rsidRDefault="00867BBB" w:rsidP="00867BBB">
      <w:pPr>
        <w:spacing w:before="100" w:beforeAutospacing="1" w:after="100" w:afterAutospacing="1"/>
        <w:rPr>
          <w:spacing w:val="5"/>
        </w:rPr>
      </w:pPr>
      <w:r w:rsidRPr="00867BBB">
        <w:rPr>
          <w:spacing w:val="5"/>
        </w:rPr>
        <w:t>Proof of Reputation (tạm dịch bằng chứng danh tiếng), là phiên bản nâng cấp của Proof of Contribution. Tiến trình hoạt động của PoR tương đồng với PoC, điểm khác biệt là ở cách chọn validator. Trong khi ai cũng có thể trở thành 1 node của một blockchain PoC, PoR yêu cầu một quy trình chọn lọc khắt khe hơn.</w:t>
      </w:r>
    </w:p>
    <w:p w:rsidR="00867BBB" w:rsidRPr="00867BBB" w:rsidRDefault="00867BBB" w:rsidP="00867BBB">
      <w:pPr>
        <w:spacing w:before="100" w:beforeAutospacing="1" w:after="100" w:afterAutospacing="1"/>
        <w:outlineLvl w:val="2"/>
        <w:rPr>
          <w:b/>
          <w:bCs/>
        </w:rPr>
      </w:pPr>
      <w:r w:rsidRPr="00867BBB">
        <w:rPr>
          <w:b/>
          <w:bCs/>
        </w:rPr>
        <w:t>Byzantine Fault Tolerance (BFT)</w:t>
      </w:r>
    </w:p>
    <w:p w:rsidR="00867BBB" w:rsidRPr="00867BBB" w:rsidRDefault="008F0F5C" w:rsidP="00867BBB">
      <w:pPr>
        <w:spacing w:before="100" w:beforeAutospacing="1" w:after="100" w:afterAutospacing="1"/>
        <w:rPr>
          <w:spacing w:val="5"/>
        </w:rPr>
      </w:pPr>
      <w:hyperlink r:id="rId11" w:tgtFrame="_blank" w:history="1">
        <w:r w:rsidR="00867BBB" w:rsidRPr="00867BBB">
          <w:rPr>
            <w:b/>
            <w:bCs/>
            <w:spacing w:val="5"/>
          </w:rPr>
          <w:t>Byzantine Fault Tolerance</w:t>
        </w:r>
      </w:hyperlink>
      <w:r w:rsidR="00867BBB" w:rsidRPr="00867BBB">
        <w:rPr>
          <w:spacing w:val="5"/>
        </w:rPr>
        <w:t>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mạng chung.</w:t>
      </w:r>
    </w:p>
    <w:p w:rsidR="00867BBB" w:rsidRDefault="00867BBB" w:rsidP="00867BBB">
      <w:pPr>
        <w:spacing w:before="100" w:beforeAutospacing="1" w:after="100" w:afterAutospacing="1"/>
        <w:rPr>
          <w:spacing w:val="5"/>
        </w:rPr>
      </w:pPr>
      <w:r w:rsidRPr="00867BBB">
        <w:rPr>
          <w:spacing w:val="5"/>
        </w:rPr>
        <w:lastRenderedPageBreak/>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rsidR="00867BBB" w:rsidRPr="00867BBB" w:rsidRDefault="00867BBB" w:rsidP="00867BBB">
      <w:pPr>
        <w:pStyle w:val="Heading2"/>
        <w:shd w:val="clear" w:color="auto" w:fill="FFFFFF"/>
        <w:spacing w:before="0" w:beforeAutospacing="0" w:after="120" w:afterAutospacing="0"/>
        <w:jc w:val="both"/>
        <w:rPr>
          <w:bCs w:val="0"/>
          <w:spacing w:val="5"/>
          <w:sz w:val="24"/>
          <w:szCs w:val="24"/>
        </w:rPr>
      </w:pPr>
      <w:r w:rsidRPr="00867BBB">
        <w:rPr>
          <w:spacing w:val="5"/>
          <w:sz w:val="24"/>
          <w:szCs w:val="24"/>
        </w:rPr>
        <w:t>Proof of Luck (PoL)</w:t>
      </w:r>
    </w:p>
    <w:p w:rsidR="00867BBB" w:rsidRPr="00867BBB" w:rsidRDefault="00867BBB" w:rsidP="00867BBB">
      <w:pPr>
        <w:spacing w:before="100" w:beforeAutospacing="1" w:after="100" w:afterAutospacing="1"/>
        <w:rPr>
          <w:b/>
          <w:spacing w:val="5"/>
        </w:rPr>
      </w:pPr>
      <w:r w:rsidRPr="00867BBB">
        <w:rPr>
          <w:b/>
          <w:spacing w:val="5"/>
        </w:rPr>
        <w:t>Proof of Luck là cơ chế đồng thuật dựa trên Intel SGX.</w:t>
      </w:r>
    </w:p>
    <w:p w:rsidR="00867BBB" w:rsidRPr="00867BBB" w:rsidRDefault="00867BBB" w:rsidP="00867BBB">
      <w:pPr>
        <w:spacing w:before="100" w:beforeAutospacing="1" w:after="100" w:afterAutospacing="1"/>
        <w:rPr>
          <w:spacing w:val="5"/>
        </w:rPr>
      </w:pPr>
      <w:r w:rsidRPr="00867BBB">
        <w:rPr>
          <w:noProof/>
          <w:spacing w:val="5"/>
        </w:rPr>
        <w:drawing>
          <wp:inline distT="0" distB="0" distL="0" distR="0" wp14:anchorId="77C07AFF" wp14:editId="2E3B7DC0">
            <wp:extent cx="6195060" cy="3840480"/>
            <wp:effectExtent l="0" t="0" r="0" b="7620"/>
            <wp:docPr id="6" name="Picture 6" descr="Proof of lu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of of luck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060" cy="3840480"/>
                    </a:xfrm>
                    <a:prstGeom prst="rect">
                      <a:avLst/>
                    </a:prstGeom>
                    <a:noFill/>
                    <a:ln>
                      <a:noFill/>
                    </a:ln>
                  </pic:spPr>
                </pic:pic>
              </a:graphicData>
            </a:graphic>
          </wp:inline>
        </w:drawing>
      </w:r>
      <w:r w:rsidRPr="00867BBB">
        <w:rPr>
          <w:spacing w:val="5"/>
        </w:rPr>
        <w:t>A Proof of luck</w:t>
      </w:r>
    </w:p>
    <w:p w:rsidR="00867BBB" w:rsidRPr="00867BBB" w:rsidRDefault="00867BBB" w:rsidP="00867BBB">
      <w:pPr>
        <w:spacing w:before="100" w:beforeAutospacing="1" w:after="100" w:afterAutospacing="1"/>
        <w:rPr>
          <w:spacing w:val="5"/>
        </w:rPr>
      </w:pPr>
      <w:r w:rsidRPr="00867BBB">
        <w:rPr>
          <w:spacing w:val="5"/>
        </w:rPr>
        <w:t>Trong hệ thống tính toán đồng thuận này, mỗi khối sẽ được gắn một giá trị “may mắn” (Luck) khi nó được khai thác (Mining), đó là một số ngẫu nhiên giữa số không và một. Qua đó, số lớn hơn là số may mắn hơn, số nhỏ hơn là số ít may mắn hơn. </w:t>
      </w:r>
    </w:p>
    <w:p w:rsidR="00867BBB" w:rsidRDefault="00867BBB" w:rsidP="00867BBB">
      <w:pPr>
        <w:spacing w:before="100" w:beforeAutospacing="1" w:after="100" w:afterAutospacing="1"/>
        <w:rPr>
          <w:spacing w:val="5"/>
        </w:rPr>
      </w:pPr>
      <w:r w:rsidRPr="00867BBB">
        <w:rPr>
          <w:spacing w:val="5"/>
        </w:rPr>
        <w:t>Những người khai thác sẽ có mong muốn gắn được khối của mình vào một giá trị may mắn nhất. Nó được tính bằng cách cộng tất cả giá trị may mắn có trong chuỗi bắt đầu từ chuỗi khởi tạo (Genesis) đến khối mới nhất được tạo.</w:t>
      </w:r>
    </w:p>
    <w:p w:rsidR="00A708CF" w:rsidRPr="00A708CF" w:rsidRDefault="00A708CF" w:rsidP="00867BBB">
      <w:pPr>
        <w:spacing w:before="100" w:beforeAutospacing="1" w:after="100" w:afterAutospacing="1"/>
        <w:rPr>
          <w:b/>
          <w:spacing w:val="5"/>
        </w:rPr>
      </w:pPr>
      <w:r w:rsidRPr="00867BBB">
        <w:rPr>
          <w:b/>
          <w:spacing w:val="5"/>
        </w:rPr>
        <w:t>Proof of Location (PoL)</w:t>
      </w:r>
    </w:p>
    <w:p w:rsidR="00A708CF" w:rsidRDefault="00A708CF" w:rsidP="00A708CF">
      <w:pPr>
        <w:pStyle w:val="NormalWeb"/>
        <w:shd w:val="clear" w:color="auto" w:fill="FFFFFF"/>
        <w:rPr>
          <w:spacing w:val="5"/>
        </w:rPr>
      </w:pPr>
      <w:r w:rsidRPr="00A708CF">
        <w:rPr>
          <w:spacing w:val="5"/>
        </w:rPr>
        <w:t>Trong thuật toán đồng thuận Bằng chứng về vị trí , tọa độ không gian địa lý của người dùng được coi là bằng chứng giá trị .</w:t>
      </w:r>
    </w:p>
    <w:p w:rsidR="00A708CF" w:rsidRPr="00A708CF" w:rsidRDefault="00A708CF" w:rsidP="00A708CF">
      <w:pPr>
        <w:pStyle w:val="NormalWeb"/>
        <w:shd w:val="clear" w:color="auto" w:fill="FFFFFF"/>
        <w:rPr>
          <w:spacing w:val="5"/>
        </w:rPr>
      </w:pPr>
      <w:r w:rsidRPr="00A708CF">
        <w:rPr>
          <w:spacing w:val="5"/>
        </w:rPr>
        <w:t>Loại thuật toán này thường được sử dụng trong các hệ thống </w:t>
      </w:r>
      <w:hyperlink r:id="rId13" w:history="1">
        <w:r w:rsidRPr="00A708CF">
          <w:rPr>
            <w:spacing w:val="5"/>
          </w:rPr>
          <w:t>đào tiền</w:t>
        </w:r>
      </w:hyperlink>
      <w:r w:rsidRPr="00A708CF">
        <w:rPr>
          <w:spacing w:val="5"/>
        </w:rPr>
        <w:t> điện tử .</w:t>
      </w:r>
    </w:p>
    <w:p w:rsidR="00A708CF" w:rsidRDefault="00A708CF" w:rsidP="00A708CF">
      <w:pPr>
        <w:pStyle w:val="NormalWeb"/>
        <w:shd w:val="clear" w:color="auto" w:fill="FFFFFF"/>
        <w:rPr>
          <w:spacing w:val="5"/>
        </w:rPr>
      </w:pPr>
      <w:r w:rsidRPr="00A708CF">
        <w:rPr>
          <w:spacing w:val="5"/>
        </w:rPr>
        <w:lastRenderedPageBreak/>
        <w:t>Trong một ứng dụng khai thác địa lý, người dùng kiếm được phần thưởng khi ở một địa điểm nhất định vào một thời điểm nhất định. </w:t>
      </w:r>
    </w:p>
    <w:p w:rsidR="008E75DD" w:rsidRDefault="008E75DD" w:rsidP="00A708CF">
      <w:pPr>
        <w:pStyle w:val="NormalWeb"/>
        <w:shd w:val="clear" w:color="auto" w:fill="FFFFFF"/>
        <w:rPr>
          <w:b/>
          <w:spacing w:val="5"/>
        </w:rPr>
      </w:pPr>
      <w:r w:rsidRPr="00867BBB">
        <w:rPr>
          <w:b/>
          <w:spacing w:val="5"/>
        </w:rPr>
        <w:t>Proof of Burn (PoB)</w:t>
      </w:r>
    </w:p>
    <w:p w:rsidR="008E75DD" w:rsidRPr="008E75DD" w:rsidRDefault="008E75DD" w:rsidP="00A708CF">
      <w:pPr>
        <w:pStyle w:val="NormalWeb"/>
        <w:shd w:val="clear" w:color="auto" w:fill="FFFFFF"/>
        <w:rPr>
          <w:spacing w:val="5"/>
        </w:rPr>
      </w:pPr>
      <w:r w:rsidRPr="008E75DD">
        <w:rPr>
          <w:spacing w:val="5"/>
        </w:rPr>
        <w:t>Proof-of-burn (PoB) là một cơ chế đồng thuận blockchain với mức tiêu thụ năng lượng tối thiểu, so với </w:t>
      </w:r>
      <w:hyperlink r:id="rId14" w:tgtFrame="_blank" w:history="1">
        <w:r w:rsidRPr="008E75DD">
          <w:rPr>
            <w:spacing w:val="5"/>
          </w:rPr>
          <w:t>bằng chứng công việc (PoW)</w:t>
        </w:r>
      </w:hyperlink>
      <w:r w:rsidRPr="008E75DD">
        <w:rPr>
          <w:spacing w:val="5"/>
        </w:rPr>
        <w:t> . </w:t>
      </w:r>
      <w:hyperlink r:id="rId15" w:tgtFrame="_blank" w:history="1">
        <w:r w:rsidRPr="008E75DD">
          <w:rPr>
            <w:spacing w:val="5"/>
          </w:rPr>
          <w:t>Các nền tảng phi tập trung</w:t>
        </w:r>
      </w:hyperlink>
      <w:r w:rsidRPr="008E75DD">
        <w:rPr>
          <w:spacing w:val="5"/>
        </w:rPr>
        <w:t> sử dụng phương pháp PoB đảm bảo </w:t>
      </w:r>
      <w:hyperlink r:id="rId16" w:tgtFrame="_blank" w:history="1">
        <w:r w:rsidRPr="008E75DD">
          <w:rPr>
            <w:spacing w:val="5"/>
          </w:rPr>
          <w:t>các thợ đào</w:t>
        </w:r>
      </w:hyperlink>
      <w:r w:rsidRPr="008E75DD">
        <w:rPr>
          <w:spacing w:val="5"/>
        </w:rPr>
        <w:t> đạt được </w:t>
      </w:r>
      <w:hyperlink r:id="rId17" w:tgtFrame="_blank" w:history="1">
        <w:r w:rsidRPr="008E75DD">
          <w:rPr>
            <w:spacing w:val="5"/>
          </w:rPr>
          <w:t>sự đồng thuận</w:t>
        </w:r>
      </w:hyperlink>
      <w:r w:rsidRPr="008E75DD">
        <w:rPr>
          <w:spacing w:val="5"/>
        </w:rPr>
        <w:t> bằng cách </w:t>
      </w:r>
      <w:hyperlink r:id="rId18" w:tgtFrame="_blank" w:history="1">
        <w:r w:rsidRPr="008E75DD">
          <w:rPr>
            <w:spacing w:val="5"/>
          </w:rPr>
          <w:t>đốt</w:t>
        </w:r>
      </w:hyperlink>
      <w:r w:rsidRPr="008E75DD">
        <w:rPr>
          <w:spacing w:val="5"/>
        </w:rPr>
        <w:t> tiền. Đốt là quá trình loại bỏ vĩnh viễn tiền điện tử khỏi lưu thông. Mặc dù thực tiễn làm giảm </w:t>
      </w:r>
      <w:hyperlink r:id="rId19" w:tgtFrame="_blank" w:history="1">
        <w:r w:rsidRPr="008E75DD">
          <w:rPr>
            <w:spacing w:val="5"/>
          </w:rPr>
          <w:t>lạm phát</w:t>
        </w:r>
      </w:hyperlink>
      <w:r w:rsidRPr="008E75DD">
        <w:rPr>
          <w:spacing w:val="5"/>
        </w:rPr>
        <w:t> , các blockchain do PoB hỗ trợ sử dụng nó để xác thực các giao dịch.</w:t>
      </w:r>
    </w:p>
    <w:p w:rsidR="006F4880" w:rsidRPr="006F4880" w:rsidRDefault="006F4880" w:rsidP="00867BBB">
      <w:pPr>
        <w:spacing w:before="100" w:beforeAutospacing="1" w:after="100" w:afterAutospacing="1"/>
        <w:rPr>
          <w:b/>
          <w:spacing w:val="5"/>
        </w:rPr>
      </w:pPr>
      <w:r w:rsidRPr="00867BBB">
        <w:rPr>
          <w:b/>
          <w:spacing w:val="5"/>
        </w:rPr>
        <w:t>Proof of Weight (PoWeight)</w:t>
      </w:r>
    </w:p>
    <w:p w:rsidR="006F4880" w:rsidRDefault="006F4880" w:rsidP="00867BBB">
      <w:pPr>
        <w:spacing w:before="100" w:beforeAutospacing="1" w:after="100" w:afterAutospacing="1"/>
        <w:rPr>
          <w:spacing w:val="5"/>
        </w:rPr>
      </w:pPr>
      <w:r w:rsidRPr="006F4880">
        <w:rPr>
          <w:spacing w:val="5"/>
        </w:rPr>
        <w:t>Proof-of-Weight là một phân loại rộng rãi các thuật toán đồng thuận dựa trên mô hình đồng thuận Algorand. Ý tưởng chung là trong PoS, tỷ lệ phần trăm mã thông báo sở hữu trong mạng của bạn thể hiện xác suất "khám phá" khối tiếp theo của bạn, trong hệ thống PoWeight, một số giá trị tương đối có trọng số khác được sử dụng.</w:t>
      </w:r>
    </w:p>
    <w:p w:rsidR="006F4880" w:rsidRDefault="008F0F5C" w:rsidP="00867BBB">
      <w:pPr>
        <w:spacing w:before="100" w:beforeAutospacing="1" w:after="100" w:afterAutospacing="1"/>
        <w:rPr>
          <w:b/>
          <w:spacing w:val="5"/>
        </w:rPr>
      </w:pPr>
      <w:hyperlink r:id="rId20" w:tgtFrame="_blank" w:history="1">
        <w:r w:rsidR="006F4880" w:rsidRPr="006F4880">
          <w:rPr>
            <w:b/>
            <w:bCs/>
            <w:spacing w:val="5"/>
          </w:rPr>
          <w:t>Direct Acyclic Graph Tangle</w:t>
        </w:r>
      </w:hyperlink>
      <w:r w:rsidR="006F4880" w:rsidRPr="00867BBB">
        <w:rPr>
          <w:b/>
          <w:spacing w:val="5"/>
        </w:rPr>
        <w:t> (DAG)</w:t>
      </w:r>
    </w:p>
    <w:p w:rsidR="006F4880" w:rsidRPr="006F4880" w:rsidRDefault="006F4880" w:rsidP="006F4880">
      <w:pPr>
        <w:shd w:val="clear" w:color="auto" w:fill="FFFFFF"/>
        <w:spacing w:line="360" w:lineRule="atLeast"/>
        <w:rPr>
          <w:spacing w:val="5"/>
        </w:rPr>
      </w:pPr>
      <w:r w:rsidRPr="006F4880">
        <w:rPr>
          <w:spacing w:val="5"/>
        </w:rPr>
        <w:t>Tangle là thuật toán đồng thuận DAG được Iota sử dụng. Để gửi một giao dịch Iota, bạn cần xác thực hai giao dịch trước đó mà bạn đã nhận được. Sự đồng thuận hai cho một, trả sau tăng cường tính hợp lệ của các giao dịch khi càng có nhiều giao dịch được thêm vào Tangle. Bởi vì sự đồng thuận được thiết lập bởi các giao dịch, về mặt lý thuyết, nếu ai đó có thể tạo ra 1/3 giao dịch thì họ có thể thuyết phục phần còn lại của mạng giao dịch không hợp lệ của họ là hợp lệ. Cho đến khi có đủ khối lượng giao dịch mà việc tạo 1/3 khối lượng trở nên không khả thi, Iota sẽ "kiểm tra kỹ" tất cả các giao dịch của mạng lưới trên một nút tập trung có tên "Người điều phối". Iota cho biết The Coordinator hoạt động giống như các bánh xe huấn luyện cho hệ thống và sẽ bị loại bỏ khi Tangle đủ lớn.</w:t>
      </w:r>
    </w:p>
    <w:p w:rsidR="006F4880" w:rsidRDefault="006F4880" w:rsidP="006F4880">
      <w:pPr>
        <w:shd w:val="clear" w:color="auto" w:fill="FFFFFF"/>
        <w:rPr>
          <w:color w:val="000000"/>
          <w:sz w:val="27"/>
          <w:szCs w:val="27"/>
        </w:rPr>
      </w:pPr>
      <w:r>
        <w:rPr>
          <w:noProof/>
          <w:color w:val="000000"/>
          <w:sz w:val="27"/>
          <w:szCs w:val="27"/>
        </w:rPr>
        <w:drawing>
          <wp:inline distT="0" distB="0" distL="0" distR="0">
            <wp:extent cx="5250180" cy="1729849"/>
            <wp:effectExtent l="0" t="0" r="7620" b="3810"/>
            <wp:docPr id="7" name="Picture 7" descr="https://raw.githubusercontent.com/cedricwalter/blockchain-consensus/master/images/ta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cedricwalter/blockchain-consensus/master/images/tangl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0180" cy="1729849"/>
                    </a:xfrm>
                    <a:prstGeom prst="rect">
                      <a:avLst/>
                    </a:prstGeom>
                    <a:noFill/>
                    <a:ln>
                      <a:noFill/>
                    </a:ln>
                  </pic:spPr>
                </pic:pic>
              </a:graphicData>
            </a:graphic>
          </wp:inline>
        </w:drawing>
      </w:r>
    </w:p>
    <w:p w:rsidR="00F73316" w:rsidRPr="00F73316" w:rsidRDefault="00F73316" w:rsidP="00867BBB">
      <w:pPr>
        <w:spacing w:before="100" w:beforeAutospacing="1" w:after="100" w:afterAutospacing="1"/>
        <w:rPr>
          <w:b/>
          <w:color w:val="222222"/>
          <w:shd w:val="clear" w:color="auto" w:fill="FFFFFF"/>
        </w:rPr>
      </w:pPr>
      <w:r w:rsidRPr="00F73316">
        <w:rPr>
          <w:b/>
          <w:color w:val="222222"/>
          <w:shd w:val="clear" w:color="auto" w:fill="FFFFFF"/>
        </w:rPr>
        <w:t>Proof of Replication</w:t>
      </w:r>
    </w:p>
    <w:p w:rsidR="006F4880" w:rsidRDefault="00F73316" w:rsidP="00867BBB">
      <w:pPr>
        <w:spacing w:before="100" w:beforeAutospacing="1" w:after="100" w:afterAutospacing="1"/>
        <w:rPr>
          <w:color w:val="222222"/>
          <w:shd w:val="clear" w:color="auto" w:fill="FFFFFF"/>
        </w:rPr>
      </w:pPr>
      <w:r w:rsidRPr="00F73316">
        <w:rPr>
          <w:color w:val="222222"/>
          <w:shd w:val="clear" w:color="auto" w:fill="FFFFFF"/>
        </w:rPr>
        <w:t>Proof of Replication cho phép một nút xác minh rằng một phần dữ liệu cụ thể đã được sao chép vào bộ nhớ vật lý chuyên dụng duy nhất của riêng nó.</w:t>
      </w:r>
    </w:p>
    <w:p w:rsidR="00835BEC" w:rsidRPr="00835BEC" w:rsidRDefault="00835BEC" w:rsidP="00835BEC">
      <w:pPr>
        <w:pStyle w:val="Heading2"/>
        <w:shd w:val="clear" w:color="auto" w:fill="FFFFFF"/>
        <w:spacing w:before="450" w:beforeAutospacing="0" w:after="300" w:afterAutospacing="0" w:line="570" w:lineRule="atLeast"/>
        <w:rPr>
          <w:color w:val="111111"/>
          <w:sz w:val="24"/>
          <w:szCs w:val="24"/>
        </w:rPr>
      </w:pPr>
      <w:r w:rsidRPr="00835BEC">
        <w:rPr>
          <w:rStyle w:val="Strong"/>
          <w:b/>
          <w:bCs/>
          <w:color w:val="111111"/>
          <w:sz w:val="24"/>
          <w:szCs w:val="24"/>
        </w:rPr>
        <w:lastRenderedPageBreak/>
        <w:t>Proof of Capacity (PoC) / Proof of Space (PoSpace)</w:t>
      </w:r>
    </w:p>
    <w:p w:rsidR="00835BEC" w:rsidRPr="00835BEC" w:rsidRDefault="00835BEC" w:rsidP="00835BEC">
      <w:pPr>
        <w:pStyle w:val="NormalWeb"/>
        <w:shd w:val="clear" w:color="auto" w:fill="FFFFFF"/>
        <w:spacing w:before="0" w:beforeAutospacing="0" w:after="390" w:afterAutospacing="0"/>
        <w:rPr>
          <w:color w:val="222222"/>
        </w:rPr>
      </w:pPr>
      <w:r w:rsidRPr="00835BEC">
        <w:rPr>
          <w:color w:val="222222"/>
        </w:rPr>
        <w:t>Proof of Capacity – còn được gọi là Bằng chứng về Dung lượng – sử dụng dung lượng ổ cứng có sẵn trong thiết bị của người khai thác để quyết định quyền khai thác của nó và xác thực các giao dịch thay vì sử dụng sức mạnh tính toán. Theo PoC, danh sách các giải pháp khai thác mật mã có thể được lưu trữ trong ổ cứng của thiết bị khai thác ngay cả trước khi hoạt động khai thác bắt đầu, với các ổ cứng lớn hơn có khả năng lưu trữ nhiều giá trị giải pháp tiềm năng hơn.</w:t>
      </w:r>
    </w:p>
    <w:p w:rsidR="003B3CC4" w:rsidRPr="00867BBB" w:rsidRDefault="003B3CC4" w:rsidP="00867BBB">
      <w:pPr>
        <w:spacing w:before="100" w:beforeAutospacing="1" w:after="100" w:afterAutospacing="1"/>
        <w:rPr>
          <w:b/>
          <w:spacing w:val="5"/>
        </w:rPr>
      </w:pPr>
    </w:p>
    <w:sectPr w:rsidR="003B3CC4" w:rsidRPr="0086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AF4"/>
    <w:rsid w:val="002E1AF4"/>
    <w:rsid w:val="003B3CC4"/>
    <w:rsid w:val="006F4880"/>
    <w:rsid w:val="00835BEC"/>
    <w:rsid w:val="00867BBB"/>
    <w:rsid w:val="008701D3"/>
    <w:rsid w:val="008E75DD"/>
    <w:rsid w:val="008F0F5C"/>
    <w:rsid w:val="009C115D"/>
    <w:rsid w:val="00A708CF"/>
    <w:rsid w:val="00F7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88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67BB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67BB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B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B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7BBB"/>
    <w:pPr>
      <w:spacing w:before="100" w:beforeAutospacing="1" w:after="100" w:afterAutospacing="1"/>
    </w:pPr>
  </w:style>
  <w:style w:type="character" w:styleId="Strong">
    <w:name w:val="Strong"/>
    <w:basedOn w:val="DefaultParagraphFont"/>
    <w:uiPriority w:val="22"/>
    <w:qFormat/>
    <w:rsid w:val="00867BBB"/>
    <w:rPr>
      <w:b/>
      <w:bCs/>
    </w:rPr>
  </w:style>
  <w:style w:type="character" w:styleId="Hyperlink">
    <w:name w:val="Hyperlink"/>
    <w:basedOn w:val="DefaultParagraphFont"/>
    <w:uiPriority w:val="99"/>
    <w:semiHidden/>
    <w:unhideWhenUsed/>
    <w:rsid w:val="00867BBB"/>
    <w:rPr>
      <w:color w:val="0000FF"/>
      <w:u w:val="single"/>
    </w:rPr>
  </w:style>
  <w:style w:type="paragraph" w:styleId="BalloonText">
    <w:name w:val="Balloon Text"/>
    <w:basedOn w:val="Normal"/>
    <w:link w:val="BalloonTextChar"/>
    <w:uiPriority w:val="99"/>
    <w:semiHidden/>
    <w:unhideWhenUsed/>
    <w:rsid w:val="00867BB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67BBB"/>
    <w:rPr>
      <w:rFonts w:ascii="Tahoma" w:hAnsi="Tahoma" w:cs="Tahoma"/>
      <w:sz w:val="16"/>
      <w:szCs w:val="16"/>
    </w:rPr>
  </w:style>
  <w:style w:type="character" w:styleId="Emphasis">
    <w:name w:val="Emphasis"/>
    <w:basedOn w:val="DefaultParagraphFont"/>
    <w:uiPriority w:val="20"/>
    <w:qFormat/>
    <w:rsid w:val="00A708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88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67BB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67BB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B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B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7BBB"/>
    <w:pPr>
      <w:spacing w:before="100" w:beforeAutospacing="1" w:after="100" w:afterAutospacing="1"/>
    </w:pPr>
  </w:style>
  <w:style w:type="character" w:styleId="Strong">
    <w:name w:val="Strong"/>
    <w:basedOn w:val="DefaultParagraphFont"/>
    <w:uiPriority w:val="22"/>
    <w:qFormat/>
    <w:rsid w:val="00867BBB"/>
    <w:rPr>
      <w:b/>
      <w:bCs/>
    </w:rPr>
  </w:style>
  <w:style w:type="character" w:styleId="Hyperlink">
    <w:name w:val="Hyperlink"/>
    <w:basedOn w:val="DefaultParagraphFont"/>
    <w:uiPriority w:val="99"/>
    <w:semiHidden/>
    <w:unhideWhenUsed/>
    <w:rsid w:val="00867BBB"/>
    <w:rPr>
      <w:color w:val="0000FF"/>
      <w:u w:val="single"/>
    </w:rPr>
  </w:style>
  <w:style w:type="paragraph" w:styleId="BalloonText">
    <w:name w:val="Balloon Text"/>
    <w:basedOn w:val="Normal"/>
    <w:link w:val="BalloonTextChar"/>
    <w:uiPriority w:val="99"/>
    <w:semiHidden/>
    <w:unhideWhenUsed/>
    <w:rsid w:val="00867BB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67BBB"/>
    <w:rPr>
      <w:rFonts w:ascii="Tahoma" w:hAnsi="Tahoma" w:cs="Tahoma"/>
      <w:sz w:val="16"/>
      <w:szCs w:val="16"/>
    </w:rPr>
  </w:style>
  <w:style w:type="character" w:styleId="Emphasis">
    <w:name w:val="Emphasis"/>
    <w:basedOn w:val="DefaultParagraphFont"/>
    <w:uiPriority w:val="20"/>
    <w:qFormat/>
    <w:rsid w:val="00A70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64454">
      <w:bodyDiv w:val="1"/>
      <w:marLeft w:val="0"/>
      <w:marRight w:val="0"/>
      <w:marTop w:val="0"/>
      <w:marBottom w:val="0"/>
      <w:divBdr>
        <w:top w:val="none" w:sz="0" w:space="0" w:color="auto"/>
        <w:left w:val="none" w:sz="0" w:space="0" w:color="auto"/>
        <w:bottom w:val="none" w:sz="0" w:space="0" w:color="auto"/>
        <w:right w:val="none" w:sz="0" w:space="0" w:color="auto"/>
      </w:divBdr>
    </w:div>
    <w:div w:id="451703953">
      <w:bodyDiv w:val="1"/>
      <w:marLeft w:val="0"/>
      <w:marRight w:val="0"/>
      <w:marTop w:val="0"/>
      <w:marBottom w:val="0"/>
      <w:divBdr>
        <w:top w:val="none" w:sz="0" w:space="0" w:color="auto"/>
        <w:left w:val="none" w:sz="0" w:space="0" w:color="auto"/>
        <w:bottom w:val="none" w:sz="0" w:space="0" w:color="auto"/>
        <w:right w:val="none" w:sz="0" w:space="0" w:color="auto"/>
      </w:divBdr>
    </w:div>
    <w:div w:id="656109412">
      <w:bodyDiv w:val="1"/>
      <w:marLeft w:val="0"/>
      <w:marRight w:val="0"/>
      <w:marTop w:val="0"/>
      <w:marBottom w:val="0"/>
      <w:divBdr>
        <w:top w:val="none" w:sz="0" w:space="0" w:color="auto"/>
        <w:left w:val="none" w:sz="0" w:space="0" w:color="auto"/>
        <w:bottom w:val="none" w:sz="0" w:space="0" w:color="auto"/>
        <w:right w:val="none" w:sz="0" w:space="0" w:color="auto"/>
      </w:divBdr>
      <w:divsChild>
        <w:div w:id="241912494">
          <w:marLeft w:val="0"/>
          <w:marRight w:val="0"/>
          <w:marTop w:val="0"/>
          <w:marBottom w:val="0"/>
          <w:divBdr>
            <w:top w:val="none" w:sz="0" w:space="0" w:color="auto"/>
            <w:left w:val="none" w:sz="0" w:space="0" w:color="auto"/>
            <w:bottom w:val="none" w:sz="0" w:space="0" w:color="auto"/>
            <w:right w:val="none" w:sz="0" w:space="0" w:color="auto"/>
          </w:divBdr>
          <w:divsChild>
            <w:div w:id="149446900">
              <w:marLeft w:val="0"/>
              <w:marRight w:val="0"/>
              <w:marTop w:val="0"/>
              <w:marBottom w:val="0"/>
              <w:divBdr>
                <w:top w:val="single" w:sz="2" w:space="0" w:color="000000"/>
                <w:left w:val="single" w:sz="2" w:space="0" w:color="000000"/>
                <w:bottom w:val="single" w:sz="2" w:space="0" w:color="000000"/>
                <w:right w:val="single" w:sz="2" w:space="0" w:color="000000"/>
              </w:divBdr>
              <w:divsChild>
                <w:div w:id="651638157">
                  <w:marLeft w:val="0"/>
                  <w:marRight w:val="0"/>
                  <w:marTop w:val="0"/>
                  <w:marBottom w:val="0"/>
                  <w:divBdr>
                    <w:top w:val="single" w:sz="2" w:space="0" w:color="000000"/>
                    <w:left w:val="single" w:sz="2" w:space="0" w:color="000000"/>
                    <w:bottom w:val="single" w:sz="2" w:space="0" w:color="000000"/>
                    <w:right w:val="single" w:sz="2" w:space="31" w:color="000000"/>
                  </w:divBdr>
                  <w:divsChild>
                    <w:div w:id="793210889">
                      <w:marLeft w:val="0"/>
                      <w:marRight w:val="0"/>
                      <w:marTop w:val="0"/>
                      <w:marBottom w:val="0"/>
                      <w:divBdr>
                        <w:top w:val="single" w:sz="2" w:space="0" w:color="000000"/>
                        <w:left w:val="single" w:sz="2" w:space="0" w:color="000000"/>
                        <w:bottom w:val="single" w:sz="2" w:space="0" w:color="000000"/>
                        <w:right w:val="single" w:sz="2" w:space="0" w:color="000000"/>
                      </w:divBdr>
                      <w:divsChild>
                        <w:div w:id="33166152">
                          <w:marLeft w:val="1200"/>
                          <w:marRight w:val="0"/>
                          <w:marTop w:val="0"/>
                          <w:marBottom w:val="0"/>
                          <w:divBdr>
                            <w:top w:val="single" w:sz="2" w:space="0" w:color="000000"/>
                            <w:left w:val="single" w:sz="2" w:space="0" w:color="000000"/>
                            <w:bottom w:val="single" w:sz="2" w:space="0" w:color="000000"/>
                            <w:right w:val="single" w:sz="2" w:space="0" w:color="000000"/>
                          </w:divBdr>
                          <w:divsChild>
                            <w:div w:id="2009600992">
                              <w:marLeft w:val="0"/>
                              <w:marRight w:val="0"/>
                              <w:marTop w:val="0"/>
                              <w:marBottom w:val="0"/>
                              <w:divBdr>
                                <w:top w:val="single" w:sz="2" w:space="0" w:color="000000"/>
                                <w:left w:val="single" w:sz="2" w:space="0" w:color="000000"/>
                                <w:bottom w:val="single" w:sz="2" w:space="0" w:color="000000"/>
                                <w:right w:val="single" w:sz="2" w:space="0" w:color="000000"/>
                              </w:divBdr>
                              <w:divsChild>
                                <w:div w:id="1602104957">
                                  <w:marLeft w:val="0"/>
                                  <w:marRight w:val="0"/>
                                  <w:marTop w:val="0"/>
                                  <w:marBottom w:val="0"/>
                                  <w:divBdr>
                                    <w:top w:val="single" w:sz="2" w:space="6" w:color="000000"/>
                                    <w:left w:val="single" w:sz="2" w:space="0" w:color="000000"/>
                                    <w:bottom w:val="single" w:sz="2" w:space="6" w:color="000000"/>
                                    <w:right w:val="single" w:sz="2" w:space="0" w:color="000000"/>
                                  </w:divBdr>
                                  <w:divsChild>
                                    <w:div w:id="658995868">
                                      <w:marLeft w:val="0"/>
                                      <w:marRight w:val="0"/>
                                      <w:marTop w:val="0"/>
                                      <w:marBottom w:val="0"/>
                                      <w:divBdr>
                                        <w:top w:val="single" w:sz="2" w:space="0" w:color="000000"/>
                                        <w:left w:val="single" w:sz="2" w:space="0" w:color="000000"/>
                                        <w:bottom w:val="single" w:sz="2" w:space="0" w:color="000000"/>
                                        <w:right w:val="single" w:sz="2" w:space="0" w:color="000000"/>
                                      </w:divBdr>
                                      <w:divsChild>
                                        <w:div w:id="803083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16051694">
          <w:marLeft w:val="0"/>
          <w:marRight w:val="0"/>
          <w:marTop w:val="0"/>
          <w:marBottom w:val="0"/>
          <w:divBdr>
            <w:top w:val="none" w:sz="0" w:space="0" w:color="auto"/>
            <w:left w:val="none" w:sz="0" w:space="0" w:color="auto"/>
            <w:bottom w:val="none" w:sz="0" w:space="0" w:color="auto"/>
            <w:right w:val="none" w:sz="0" w:space="0" w:color="auto"/>
          </w:divBdr>
          <w:divsChild>
            <w:div w:id="21439109">
              <w:marLeft w:val="0"/>
              <w:marRight w:val="0"/>
              <w:marTop w:val="0"/>
              <w:marBottom w:val="0"/>
              <w:divBdr>
                <w:top w:val="single" w:sz="2" w:space="0" w:color="000000"/>
                <w:left w:val="single" w:sz="2" w:space="0" w:color="000000"/>
                <w:bottom w:val="single" w:sz="2" w:space="0" w:color="000000"/>
                <w:right w:val="single" w:sz="2" w:space="0" w:color="000000"/>
              </w:divBdr>
              <w:divsChild>
                <w:div w:id="461651535">
                  <w:marLeft w:val="0"/>
                  <w:marRight w:val="0"/>
                  <w:marTop w:val="0"/>
                  <w:marBottom w:val="0"/>
                  <w:divBdr>
                    <w:top w:val="single" w:sz="2" w:space="0" w:color="000000"/>
                    <w:left w:val="single" w:sz="2" w:space="0" w:color="000000"/>
                    <w:bottom w:val="single" w:sz="2" w:space="0" w:color="000000"/>
                    <w:right w:val="single" w:sz="2" w:space="31" w:color="000000"/>
                  </w:divBdr>
                  <w:divsChild>
                    <w:div w:id="640887681">
                      <w:marLeft w:val="0"/>
                      <w:marRight w:val="0"/>
                      <w:marTop w:val="0"/>
                      <w:marBottom w:val="0"/>
                      <w:divBdr>
                        <w:top w:val="single" w:sz="2" w:space="0" w:color="000000"/>
                        <w:left w:val="single" w:sz="2" w:space="0" w:color="000000"/>
                        <w:bottom w:val="single" w:sz="2" w:space="0" w:color="000000"/>
                        <w:right w:val="single" w:sz="2" w:space="0" w:color="000000"/>
                      </w:divBdr>
                      <w:divsChild>
                        <w:div w:id="1353070974">
                          <w:marLeft w:val="1200"/>
                          <w:marRight w:val="0"/>
                          <w:marTop w:val="0"/>
                          <w:marBottom w:val="0"/>
                          <w:divBdr>
                            <w:top w:val="single" w:sz="2" w:space="0" w:color="000000"/>
                            <w:left w:val="single" w:sz="2" w:space="0" w:color="000000"/>
                            <w:bottom w:val="single" w:sz="2" w:space="0" w:color="000000"/>
                            <w:right w:val="single" w:sz="2" w:space="0" w:color="000000"/>
                          </w:divBdr>
                          <w:divsChild>
                            <w:div w:id="1725640139">
                              <w:marLeft w:val="0"/>
                              <w:marRight w:val="0"/>
                              <w:marTop w:val="0"/>
                              <w:marBottom w:val="0"/>
                              <w:divBdr>
                                <w:top w:val="single" w:sz="2" w:space="0" w:color="000000"/>
                                <w:left w:val="single" w:sz="2" w:space="0" w:color="000000"/>
                                <w:bottom w:val="single" w:sz="2" w:space="0" w:color="000000"/>
                                <w:right w:val="single" w:sz="2" w:space="0" w:color="000000"/>
                              </w:divBdr>
                              <w:divsChild>
                                <w:div w:id="1835729873">
                                  <w:marLeft w:val="0"/>
                                  <w:marRight w:val="0"/>
                                  <w:marTop w:val="0"/>
                                  <w:marBottom w:val="0"/>
                                  <w:divBdr>
                                    <w:top w:val="single" w:sz="2" w:space="12" w:color="000000"/>
                                    <w:left w:val="single" w:sz="2" w:space="0" w:color="000000"/>
                                    <w:bottom w:val="single" w:sz="2" w:space="12" w:color="000000"/>
                                    <w:right w:val="single" w:sz="2" w:space="0" w:color="000000"/>
                                  </w:divBdr>
                                  <w:divsChild>
                                    <w:div w:id="1655798171">
                                      <w:marLeft w:val="0"/>
                                      <w:marRight w:val="0"/>
                                      <w:marTop w:val="0"/>
                                      <w:marBottom w:val="0"/>
                                      <w:divBdr>
                                        <w:top w:val="single" w:sz="2" w:space="0" w:color="000000"/>
                                        <w:left w:val="single" w:sz="2" w:space="0" w:color="000000"/>
                                        <w:bottom w:val="single" w:sz="2" w:space="0" w:color="000000"/>
                                        <w:right w:val="single" w:sz="2" w:space="0" w:color="000000"/>
                                      </w:divBdr>
                                      <w:divsChild>
                                        <w:div w:id="599490531">
                                          <w:marLeft w:val="0"/>
                                          <w:marRight w:val="0"/>
                                          <w:marTop w:val="0"/>
                                          <w:marBottom w:val="0"/>
                                          <w:divBdr>
                                            <w:top w:val="single" w:sz="2" w:space="0" w:color="000000"/>
                                            <w:left w:val="single" w:sz="2" w:space="0" w:color="000000"/>
                                            <w:bottom w:val="single" w:sz="2" w:space="0" w:color="000000"/>
                                            <w:right w:val="single" w:sz="2" w:space="0" w:color="000000"/>
                                          </w:divBdr>
                                          <w:divsChild>
                                            <w:div w:id="573316142">
                                              <w:marLeft w:val="0"/>
                                              <w:marRight w:val="0"/>
                                              <w:marTop w:val="0"/>
                                              <w:marBottom w:val="0"/>
                                              <w:divBdr>
                                                <w:top w:val="single" w:sz="2" w:space="0" w:color="000000"/>
                                                <w:left w:val="single" w:sz="2" w:space="0" w:color="000000"/>
                                                <w:bottom w:val="single" w:sz="2" w:space="0" w:color="000000"/>
                                                <w:right w:val="single" w:sz="2" w:space="0" w:color="000000"/>
                                              </w:divBdr>
                                              <w:divsChild>
                                                <w:div w:id="61099975">
                                                  <w:marLeft w:val="0"/>
                                                  <w:marRight w:val="0"/>
                                                  <w:marTop w:val="0"/>
                                                  <w:marBottom w:val="0"/>
                                                  <w:divBdr>
                                                    <w:top w:val="single" w:sz="2" w:space="0" w:color="000000"/>
                                                    <w:left w:val="single" w:sz="2" w:space="0" w:color="000000"/>
                                                    <w:bottom w:val="single" w:sz="2" w:space="0" w:color="000000"/>
                                                    <w:right w:val="single" w:sz="2" w:space="0" w:color="000000"/>
                                                  </w:divBdr>
                                                  <w:divsChild>
                                                    <w:div w:id="1771731503">
                                                      <w:marLeft w:val="0"/>
                                                      <w:marRight w:val="0"/>
                                                      <w:marTop w:val="0"/>
                                                      <w:marBottom w:val="0"/>
                                                      <w:divBdr>
                                                        <w:top w:val="none" w:sz="0" w:space="0" w:color="auto"/>
                                                        <w:left w:val="none" w:sz="0" w:space="0" w:color="auto"/>
                                                        <w:bottom w:val="none" w:sz="0" w:space="0" w:color="auto"/>
                                                        <w:right w:val="none" w:sz="0" w:space="0" w:color="auto"/>
                                                      </w:divBdr>
                                                      <w:divsChild>
                                                        <w:div w:id="145362327">
                                                          <w:marLeft w:val="0"/>
                                                          <w:marRight w:val="0"/>
                                                          <w:marTop w:val="0"/>
                                                          <w:marBottom w:val="0"/>
                                                          <w:divBdr>
                                                            <w:top w:val="none" w:sz="0" w:space="0" w:color="auto"/>
                                                            <w:left w:val="none" w:sz="0" w:space="0" w:color="auto"/>
                                                            <w:bottom w:val="none" w:sz="0" w:space="0" w:color="auto"/>
                                                            <w:right w:val="none" w:sz="0" w:space="0" w:color="auto"/>
                                                          </w:divBdr>
                                                          <w:divsChild>
                                                            <w:div w:id="1195459602">
                                                              <w:marLeft w:val="0"/>
                                                              <w:marRight w:val="0"/>
                                                              <w:marTop w:val="0"/>
                                                              <w:marBottom w:val="0"/>
                                                              <w:divBdr>
                                                                <w:top w:val="single" w:sz="2" w:space="0" w:color="000000"/>
                                                                <w:left w:val="single" w:sz="2" w:space="0" w:color="000000"/>
                                                                <w:bottom w:val="single" w:sz="2" w:space="0" w:color="000000"/>
                                                                <w:right w:val="single" w:sz="2" w:space="0" w:color="000000"/>
                                                              </w:divBdr>
                                                              <w:divsChild>
                                                                <w:div w:id="1121532125">
                                                                  <w:marLeft w:val="0"/>
                                                                  <w:marRight w:val="0"/>
                                                                  <w:marTop w:val="0"/>
                                                                  <w:marBottom w:val="0"/>
                                                                  <w:divBdr>
                                                                    <w:top w:val="single" w:sz="2" w:space="0" w:color="000000"/>
                                                                    <w:left w:val="single" w:sz="2" w:space="0" w:color="000000"/>
                                                                    <w:bottom w:val="single" w:sz="2" w:space="0" w:color="000000"/>
                                                                    <w:right w:val="single" w:sz="2" w:space="0" w:color="000000"/>
                                                                  </w:divBdr>
                                                                  <w:divsChild>
                                                                    <w:div w:id="1115516450">
                                                                      <w:marLeft w:val="0"/>
                                                                      <w:marRight w:val="0"/>
                                                                      <w:marTop w:val="0"/>
                                                                      <w:marBottom w:val="0"/>
                                                                      <w:divBdr>
                                                                        <w:top w:val="single" w:sz="2" w:space="0" w:color="000000"/>
                                                                        <w:left w:val="single" w:sz="2" w:space="0" w:color="000000"/>
                                                                        <w:bottom w:val="single" w:sz="2" w:space="0" w:color="000000"/>
                                                                        <w:right w:val="single" w:sz="2" w:space="0" w:color="000000"/>
                                                                      </w:divBdr>
                                                                      <w:divsChild>
                                                                        <w:div w:id="587617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0886401">
                                                                  <w:marLeft w:val="0"/>
                                                                  <w:marRight w:val="0"/>
                                                                  <w:marTop w:val="0"/>
                                                                  <w:marBottom w:val="0"/>
                                                                  <w:divBdr>
                                                                    <w:top w:val="single" w:sz="2" w:space="6" w:color="000000"/>
                                                                    <w:left w:val="single" w:sz="2" w:space="0" w:color="000000"/>
                                                                    <w:bottom w:val="single" w:sz="2" w:space="0" w:color="000000"/>
                                                                    <w:right w:val="single" w:sz="2" w:space="0" w:color="000000"/>
                                                                  </w:divBdr>
                                                                  <w:divsChild>
                                                                    <w:div w:id="190460227">
                                                                      <w:marLeft w:val="0"/>
                                                                      <w:marRight w:val="0"/>
                                                                      <w:marTop w:val="0"/>
                                                                      <w:marBottom w:val="0"/>
                                                                      <w:divBdr>
                                                                        <w:top w:val="none" w:sz="0" w:space="0" w:color="auto"/>
                                                                        <w:left w:val="none" w:sz="0" w:space="0" w:color="auto"/>
                                                                        <w:bottom w:val="none" w:sz="0" w:space="0" w:color="auto"/>
                                                                        <w:right w:val="none" w:sz="0" w:space="0" w:color="auto"/>
                                                                      </w:divBdr>
                                                                      <w:divsChild>
                                                                        <w:div w:id="132259819">
                                                                          <w:marLeft w:val="0"/>
                                                                          <w:marRight w:val="0"/>
                                                                          <w:marTop w:val="0"/>
                                                                          <w:marBottom w:val="0"/>
                                                                          <w:divBdr>
                                                                            <w:top w:val="single" w:sz="2" w:space="0" w:color="000000"/>
                                                                            <w:left w:val="single" w:sz="2" w:space="0" w:color="000000"/>
                                                                            <w:bottom w:val="single" w:sz="2" w:space="0" w:color="000000"/>
                                                                            <w:right w:val="single" w:sz="2" w:space="0" w:color="000000"/>
                                                                          </w:divBdr>
                                                                          <w:divsChild>
                                                                            <w:div w:id="104932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402560">
      <w:bodyDiv w:val="1"/>
      <w:marLeft w:val="0"/>
      <w:marRight w:val="0"/>
      <w:marTop w:val="0"/>
      <w:marBottom w:val="0"/>
      <w:divBdr>
        <w:top w:val="none" w:sz="0" w:space="0" w:color="auto"/>
        <w:left w:val="none" w:sz="0" w:space="0" w:color="auto"/>
        <w:bottom w:val="none" w:sz="0" w:space="0" w:color="auto"/>
        <w:right w:val="none" w:sz="0" w:space="0" w:color="auto"/>
      </w:divBdr>
    </w:div>
    <w:div w:id="946422793">
      <w:bodyDiv w:val="1"/>
      <w:marLeft w:val="0"/>
      <w:marRight w:val="0"/>
      <w:marTop w:val="0"/>
      <w:marBottom w:val="0"/>
      <w:divBdr>
        <w:top w:val="none" w:sz="0" w:space="0" w:color="auto"/>
        <w:left w:val="none" w:sz="0" w:space="0" w:color="auto"/>
        <w:bottom w:val="none" w:sz="0" w:space="0" w:color="auto"/>
        <w:right w:val="none" w:sz="0" w:space="0" w:color="auto"/>
      </w:divBdr>
    </w:div>
    <w:div w:id="2010214727">
      <w:bodyDiv w:val="1"/>
      <w:marLeft w:val="0"/>
      <w:marRight w:val="0"/>
      <w:marTop w:val="0"/>
      <w:marBottom w:val="0"/>
      <w:divBdr>
        <w:top w:val="none" w:sz="0" w:space="0" w:color="auto"/>
        <w:left w:val="none" w:sz="0" w:space="0" w:color="auto"/>
        <w:bottom w:val="none" w:sz="0" w:space="0" w:color="auto"/>
        <w:right w:val="none" w:sz="0" w:space="0" w:color="auto"/>
      </w:divBdr>
      <w:divsChild>
        <w:div w:id="119839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ypto.bi/geomining/" TargetMode="External"/><Relationship Id="rId18" Type="http://schemas.openxmlformats.org/officeDocument/2006/relationships/hyperlink" Target="https://coinmarketcap.com/alexandria/glossary/burned"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coin98.net/delegated-proof-of-stake-dpos-la-gi" TargetMode="External"/><Relationship Id="rId12" Type="http://schemas.openxmlformats.org/officeDocument/2006/relationships/image" Target="media/image4.jpeg"/><Relationship Id="rId17" Type="http://schemas.openxmlformats.org/officeDocument/2006/relationships/hyperlink" Target="https://coinmarketcap.com/alexandria/glossary/consensus" TargetMode="External"/><Relationship Id="rId2" Type="http://schemas.microsoft.com/office/2007/relationships/stylesWithEffects" Target="stylesWithEffects.xml"/><Relationship Id="rId16" Type="http://schemas.openxmlformats.org/officeDocument/2006/relationships/hyperlink" Target="https://coinmarketcap.com/alexandria/glossary/miners" TargetMode="External"/><Relationship Id="rId20" Type="http://schemas.openxmlformats.org/officeDocument/2006/relationships/hyperlink" Target="https://coin98.net/directed-acyclic-graph-dag-la-gi"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in98.net/byzantine-la-gi" TargetMode="External"/><Relationship Id="rId5" Type="http://schemas.openxmlformats.org/officeDocument/2006/relationships/hyperlink" Target="https://coin98.net/proof-of-stake-la-gi" TargetMode="External"/><Relationship Id="rId15" Type="http://schemas.openxmlformats.org/officeDocument/2006/relationships/hyperlink" Target="https://coinmarketcap.com/alexandria/glossary/decentralize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inmarketcap.com/alexandria/glossary/inflation" TargetMode="External"/><Relationship Id="rId4" Type="http://schemas.openxmlformats.org/officeDocument/2006/relationships/webSettings" Target="webSettings.xml"/><Relationship Id="rId9" Type="http://schemas.openxmlformats.org/officeDocument/2006/relationships/hyperlink" Target="https://coin98.net/proof-of-authority-poa-la-gi" TargetMode="External"/><Relationship Id="rId14" Type="http://schemas.openxmlformats.org/officeDocument/2006/relationships/hyperlink" Target="https://coinmarketcap.com/alexandria/glossary/proof-of-work-po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2022-11-22T07:08:00Z</dcterms:created>
  <dcterms:modified xsi:type="dcterms:W3CDTF">2022-11-22T07:08:00Z</dcterms:modified>
</cp:coreProperties>
</file>