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Sơ đồ Chương 2 (Chuẩn Use Case - Nền trắng chữ đen)</w:t>
      </w:r>
    </w:p>
    <w:p>
      <w:r>
        <w:rPr>
          <w:b/>
        </w:rPr>
        <w:t>Hình 2.1: Sơ đồ luồng kết hợp YOLO và trích xuất khung xương</w:t>
      </w:r>
    </w:p>
    <w:p>
      <w:r>
        <w:drawing>
          <wp:inline xmlns:a="http://schemas.openxmlformats.org/drawingml/2006/main" xmlns:pic="http://schemas.openxmlformats.org/drawingml/2006/picture">
            <wp:extent cx="5486400" cy="241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Hình 2.2: Sơ đồ kiến trúc tổng thể hệ thống</w:t>
      </w:r>
    </w:p>
    <w:p>
      <w:r>
        <w:drawing>
          <wp:inline xmlns:a="http://schemas.openxmlformats.org/drawingml/2006/main" xmlns:pic="http://schemas.openxmlformats.org/drawingml/2006/picture">
            <wp:extent cx="5486400" cy="654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Hình 2.3: Lưu đồ thuật toán quy trình phát hiện té ngã</w:t>
      </w:r>
    </w:p>
    <w:p>
      <w:r>
        <w:drawing>
          <wp:inline xmlns:a="http://schemas.openxmlformats.org/drawingml/2006/main" xmlns:pic="http://schemas.openxmlformats.org/drawingml/2006/picture">
            <wp:extent cx="5486400" cy="55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