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Sơ đồ Chương 2 (Bản Tối Ưu Tùy Chỉnh Cực Nét)</w:t>
      </w:r>
    </w:p>
    <w:p>
      <w:r>
        <w:t>Hình 2.2: Sơ đồ kiến trúc tổng thể hệ thống (Xếp ngang, Khối Use Case)</w:t>
      </w:r>
    </w:p>
    <w:p>
      <w:r>
        <w:drawing>
          <wp:inline xmlns:a="http://schemas.openxmlformats.org/drawingml/2006/main" xmlns:pic="http://schemas.openxmlformats.org/drawingml/2006/picture">
            <wp:extent cx="5486400" cy="2236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_2_m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Hình 2.3: Lưu đồ thuật toán quy trình phát hiện té ngã (Xếp ngang, Căn lề chính xác 100%)</w:t>
      </w:r>
    </w:p>
    <w:p>
      <w:r>
        <w:drawing>
          <wp:inline xmlns:a="http://schemas.openxmlformats.org/drawingml/2006/main" xmlns:pic="http://schemas.openxmlformats.org/drawingml/2006/picture">
            <wp:extent cx="5943600" cy="2116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_3_m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2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