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F9898" w14:textId="77777777" w:rsidR="000574DE" w:rsidRPr="000574DE" w:rsidRDefault="000574DE" w:rsidP="000574DE">
      <w:pPr>
        <w:shd w:val="clear" w:color="auto" w:fill="FFFFFF"/>
        <w:spacing w:before="100" w:beforeAutospacing="1" w:after="100" w:afterAutospacing="1" w:line="240" w:lineRule="auto"/>
        <w:outlineLvl w:val="0"/>
        <w:rPr>
          <w:rFonts w:ascii="Arial" w:eastAsia="Times New Roman" w:hAnsi="Arial" w:cs="Arial"/>
          <w:b/>
          <w:bCs/>
          <w:color w:val="333333"/>
          <w:kern w:val="36"/>
          <w:sz w:val="36"/>
          <w:szCs w:val="36"/>
        </w:rPr>
      </w:pPr>
      <w:r w:rsidRPr="000574DE">
        <w:rPr>
          <w:rFonts w:ascii="Arial" w:eastAsia="Times New Roman" w:hAnsi="Arial" w:cs="Arial"/>
          <w:b/>
          <w:bCs/>
          <w:color w:val="333333"/>
          <w:kern w:val="36"/>
          <w:sz w:val="36"/>
          <w:szCs w:val="36"/>
        </w:rPr>
        <w:t>Hộ kinh doanh doanh thu đến 1 tỷ đồng/năm: Hướng dẫn kê khai doanh thu và xử lý thuế từ 2026</w:t>
      </w:r>
    </w:p>
    <w:p w14:paraId="668DCC9E" w14:textId="77777777" w:rsidR="000574DE" w:rsidRPr="000574DE" w:rsidRDefault="000574DE" w:rsidP="000574DE">
      <w:pPr>
        <w:shd w:val="clear" w:color="auto" w:fill="F7F7F7"/>
        <w:spacing w:after="0" w:line="480" w:lineRule="atLeast"/>
        <w:rPr>
          <w:rFonts w:ascii="Arial" w:eastAsia="Times New Roman" w:hAnsi="Arial" w:cs="Arial"/>
          <w:color w:val="333333"/>
          <w:sz w:val="24"/>
          <w:szCs w:val="24"/>
        </w:rPr>
      </w:pPr>
      <w:r w:rsidRPr="000574DE">
        <w:rPr>
          <w:rFonts w:ascii="Arial" w:eastAsia="Times New Roman" w:hAnsi="Arial" w:cs="Arial"/>
          <w:color w:val="A6A6A6"/>
          <w:sz w:val="21"/>
          <w:szCs w:val="21"/>
        </w:rPr>
        <w:t>Bởi: </w:t>
      </w:r>
      <w:r w:rsidRPr="000574DE">
        <w:rPr>
          <w:rFonts w:ascii="Arial" w:eastAsia="Times New Roman" w:hAnsi="Arial" w:cs="Arial"/>
          <w:b/>
          <w:bCs/>
          <w:color w:val="5A5656"/>
          <w:sz w:val="21"/>
          <w:szCs w:val="21"/>
        </w:rPr>
        <w:t>Einvoice.vn </w:t>
      </w:r>
      <w:r w:rsidRPr="000574DE">
        <w:rPr>
          <w:rFonts w:ascii="Arial" w:eastAsia="Times New Roman" w:hAnsi="Arial" w:cs="Arial"/>
          <w:color w:val="A6A6A6"/>
          <w:sz w:val="21"/>
          <w:szCs w:val="21"/>
        </w:rPr>
        <w:t>- 15/05/2026  Lượt xem: 6418</w:t>
      </w:r>
    </w:p>
    <w:p w14:paraId="68EFBB96"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Từ ngày 1/1/2026, theo </w:t>
      </w:r>
      <w:hyperlink r:id="rId4" w:tgtFrame="_blank" w:history="1">
        <w:r w:rsidRPr="000574DE">
          <w:rPr>
            <w:rFonts w:ascii="Arial" w:eastAsia="Times New Roman" w:hAnsi="Arial" w:cs="Arial"/>
            <w:b/>
            <w:bCs/>
            <w:color w:val="007BFF"/>
            <w:sz w:val="24"/>
            <w:szCs w:val="24"/>
            <w:lang w:val="vi-VN"/>
          </w:rPr>
          <w:t>Nghị định 141/2026/NĐ-CP</w:t>
        </w:r>
      </w:hyperlink>
      <w:r w:rsidRPr="000574DE">
        <w:rPr>
          <w:rFonts w:ascii="Arial" w:eastAsia="Times New Roman" w:hAnsi="Arial" w:cs="Arial"/>
          <w:color w:val="333333"/>
          <w:sz w:val="24"/>
          <w:szCs w:val="24"/>
          <w:lang w:val="vi-VN"/>
        </w:rPr>
        <w:t>, hộ kinh doanh và cá nhân kinh doanh có doanh thu từ 1 tỷ đồng/năm trở xuống được miễn thuế GTGT, TNCN nhưng vẫn phải thực hiện thông báo doanh thu theo đúng quy định. Dưới đây là hướng dẫn chi tiết về nghĩa vụ khai báo, thời điểm nộp mẫu và các lưu ý quan trọng để hộ kinh doanh tuân thủ pháp luật thuế.</w:t>
      </w:r>
    </w:p>
    <w:p w14:paraId="4FFC62CD" w14:textId="3A3F3EBB" w:rsidR="000574DE" w:rsidRPr="000574DE" w:rsidRDefault="000574DE" w:rsidP="000574DE">
      <w:pPr>
        <w:shd w:val="clear" w:color="auto" w:fill="FFFFFF"/>
        <w:spacing w:after="0" w:line="480" w:lineRule="auto"/>
        <w:rPr>
          <w:rFonts w:ascii="Arial" w:eastAsia="Times New Roman" w:hAnsi="Arial" w:cs="Arial"/>
          <w:color w:val="333333"/>
          <w:sz w:val="24"/>
          <w:szCs w:val="24"/>
        </w:rPr>
      </w:pPr>
      <w:r w:rsidRPr="000574DE">
        <w:rPr>
          <w:rFonts w:ascii="Arial" w:eastAsia="Times New Roman" w:hAnsi="Arial" w:cs="Arial"/>
          <w:noProof/>
          <w:color w:val="333333"/>
          <w:sz w:val="24"/>
          <w:szCs w:val="24"/>
        </w:rPr>
        <w:drawing>
          <wp:inline distT="0" distB="0" distL="0" distR="0" wp14:anchorId="2E9BC2DB" wp14:editId="6F1CADAA">
            <wp:extent cx="5943600" cy="3959860"/>
            <wp:effectExtent l="0" t="0" r="0" b="2540"/>
            <wp:docPr id="3" name="Picture 3" descr="Thuế với hộ kinh do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ế với hộ kinh doa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0574DE">
        <w:rPr>
          <w:rFonts w:ascii="Arial" w:eastAsia="Times New Roman" w:hAnsi="Arial" w:cs="Arial"/>
          <w:i/>
          <w:iCs/>
          <w:color w:val="000000"/>
          <w:sz w:val="24"/>
          <w:szCs w:val="24"/>
        </w:rPr>
        <w:t>Doanh thu dưới 1 tỷ/năm có phải nộp thuế?</w:t>
      </w:r>
    </w:p>
    <w:tbl>
      <w:tblPr>
        <w:tblW w:w="11849" w:type="dxa"/>
        <w:tblBorders>
          <w:top w:val="outset" w:sz="6" w:space="0" w:color="ECF0F1"/>
          <w:left w:val="outset" w:sz="6" w:space="0" w:color="ECF0F1"/>
          <w:bottom w:val="outset" w:sz="6" w:space="0" w:color="ECF0F1"/>
          <w:right w:val="outset" w:sz="6" w:space="0" w:color="ECF0F1"/>
        </w:tblBorders>
        <w:shd w:val="clear" w:color="auto" w:fill="ECF0F1"/>
        <w:tblCellMar>
          <w:left w:w="0" w:type="dxa"/>
          <w:right w:w="0" w:type="dxa"/>
        </w:tblCellMar>
        <w:tblLook w:val="04A0" w:firstRow="1" w:lastRow="0" w:firstColumn="1" w:lastColumn="0" w:noHBand="0" w:noVBand="1"/>
      </w:tblPr>
      <w:tblGrid>
        <w:gridCol w:w="11849"/>
      </w:tblGrid>
      <w:tr w:rsidR="000574DE" w:rsidRPr="000574DE" w14:paraId="394A4E4A" w14:textId="77777777" w:rsidTr="000574DE">
        <w:tc>
          <w:tcPr>
            <w:tcW w:w="0" w:type="auto"/>
            <w:tcBorders>
              <w:top w:val="single" w:sz="6" w:space="0" w:color="ECF0F1"/>
              <w:left w:val="single" w:sz="6" w:space="0" w:color="ECF0F1"/>
              <w:bottom w:val="single" w:sz="6" w:space="0" w:color="ECF0F1"/>
              <w:right w:val="single" w:sz="6" w:space="0" w:color="ECF0F1"/>
            </w:tcBorders>
            <w:shd w:val="clear" w:color="auto" w:fill="ECF0F1"/>
            <w:tcMar>
              <w:top w:w="150" w:type="dxa"/>
              <w:left w:w="150" w:type="dxa"/>
              <w:bottom w:w="150" w:type="dxa"/>
              <w:right w:w="150" w:type="dxa"/>
            </w:tcMar>
            <w:vAlign w:val="center"/>
            <w:hideMark/>
          </w:tcPr>
          <w:p w14:paraId="20672F3C"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r w:rsidRPr="000574DE">
              <w:rPr>
                <w:rFonts w:ascii="Arial" w:eastAsia="Times New Roman" w:hAnsi="Arial" w:cs="Arial"/>
                <w:b/>
                <w:bCs/>
                <w:sz w:val="24"/>
                <w:szCs w:val="24"/>
              </w:rPr>
              <w:t>Mục Lục</w:t>
            </w:r>
          </w:p>
          <w:p w14:paraId="318BE5B1"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6" w:anchor="h_169093360771981778809179683" w:history="1">
              <w:r w:rsidRPr="000574DE">
                <w:rPr>
                  <w:rFonts w:ascii="Arial" w:eastAsia="Times New Roman" w:hAnsi="Arial" w:cs="Arial"/>
                  <w:b/>
                  <w:bCs/>
                  <w:color w:val="007BFF"/>
                  <w:sz w:val="24"/>
                  <w:szCs w:val="24"/>
                </w:rPr>
                <w:t>1. Hộ kinh doanh doanh thu từ 1 tỷ đồng/năm trở xuống xử lý thuế thế nào từ 2026?</w:t>
              </w:r>
            </w:hyperlink>
          </w:p>
          <w:p w14:paraId="5EF7896C"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7" w:anchor="h_62889688776611778809183242" w:history="1">
              <w:r w:rsidRPr="000574DE">
                <w:rPr>
                  <w:rFonts w:ascii="Arial" w:eastAsia="Times New Roman" w:hAnsi="Arial" w:cs="Arial"/>
                  <w:color w:val="007BFF"/>
                  <w:sz w:val="24"/>
                  <w:szCs w:val="24"/>
                  <w:u w:val="single"/>
                </w:rPr>
                <w:t>1.1. Hộ kinh doanh doanh thu đến 1 tỷ đồng/năm có phải nộp thuế không?</w:t>
              </w:r>
            </w:hyperlink>
          </w:p>
          <w:p w14:paraId="595FD112"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8" w:anchor="h_853185576781031778809186891" w:history="1">
              <w:r w:rsidRPr="000574DE">
                <w:rPr>
                  <w:rFonts w:ascii="Arial" w:eastAsia="Times New Roman" w:hAnsi="Arial" w:cs="Arial"/>
                  <w:color w:val="007BFF"/>
                  <w:sz w:val="24"/>
                  <w:szCs w:val="24"/>
                  <w:u w:val="single"/>
                </w:rPr>
                <w:t>1.2. Tần suất thông báo doanh thu đối với hộ kinh doanh miễn thuế</w:t>
              </w:r>
            </w:hyperlink>
          </w:p>
          <w:p w14:paraId="4BE47B67"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9" w:anchor="h_884323758785441778809191161" w:history="1">
              <w:r w:rsidRPr="000574DE">
                <w:rPr>
                  <w:rFonts w:ascii="Arial" w:eastAsia="Times New Roman" w:hAnsi="Arial" w:cs="Arial"/>
                  <w:color w:val="007BFF"/>
                  <w:sz w:val="24"/>
                  <w:szCs w:val="24"/>
                  <w:u w:val="single"/>
                </w:rPr>
                <w:t>1.3. Trường hợp hộ kinh doanh doanh thu từ trên 500 triệu đến 1 tỷ đồng năm 2026 cần xử lý ra sao?</w:t>
              </w:r>
            </w:hyperlink>
          </w:p>
          <w:p w14:paraId="175EEC6C"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10" w:anchor="h_234929762789981778809197199" w:history="1">
              <w:r w:rsidRPr="000574DE">
                <w:rPr>
                  <w:rFonts w:ascii="Arial" w:eastAsia="Times New Roman" w:hAnsi="Arial" w:cs="Arial"/>
                  <w:b/>
                  <w:bCs/>
                  <w:color w:val="007BFF"/>
                  <w:sz w:val="24"/>
                  <w:szCs w:val="24"/>
                </w:rPr>
                <w:t>2. Hộ kinh doanh dưới 1 tỷ đồng năm 2026 tính thuế thế nào?</w:t>
              </w:r>
            </w:hyperlink>
          </w:p>
          <w:p w14:paraId="2FA0A215"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11" w:anchor="h_564004602795061778809203222" w:history="1">
              <w:r w:rsidRPr="000574DE">
                <w:rPr>
                  <w:rFonts w:ascii="Arial" w:eastAsia="Times New Roman" w:hAnsi="Arial" w:cs="Arial"/>
                  <w:b/>
                  <w:bCs/>
                  <w:color w:val="007BFF"/>
                  <w:sz w:val="24"/>
                  <w:szCs w:val="24"/>
                </w:rPr>
                <w:t>3. Hộ kinh doanh dưới 1 tỷ đồng năm 2026 có bắt buộc dùng hóa đơn điện tử không?</w:t>
              </w:r>
            </w:hyperlink>
          </w:p>
          <w:p w14:paraId="4076D7F8"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12" w:anchor="h_914047209803041778809224626" w:history="1">
              <w:r w:rsidRPr="000574DE">
                <w:rPr>
                  <w:rFonts w:ascii="Arial" w:eastAsia="Times New Roman" w:hAnsi="Arial" w:cs="Arial"/>
                  <w:color w:val="007BFF"/>
                  <w:sz w:val="24"/>
                  <w:szCs w:val="24"/>
                  <w:u w:val="single"/>
                </w:rPr>
                <w:t>3.1. Quy định sử dụng hóa đơn điện tử theo mức doanh thu hộ kinh doanh</w:t>
              </w:r>
            </w:hyperlink>
          </w:p>
          <w:p w14:paraId="2A4824DB"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13" w:anchor="h_156906004807351778809229899" w:history="1">
              <w:r w:rsidRPr="000574DE">
                <w:rPr>
                  <w:rFonts w:ascii="Arial" w:eastAsia="Times New Roman" w:hAnsi="Arial" w:cs="Arial"/>
                  <w:color w:val="007BFF"/>
                  <w:sz w:val="24"/>
                  <w:szCs w:val="24"/>
                  <w:u w:val="single"/>
                </w:rPr>
                <w:t>3.2. Hộ kinh doanh dưới 1 tỷ đồng có được đăng ký hóa đơn điện tử không?</w:t>
              </w:r>
            </w:hyperlink>
          </w:p>
          <w:p w14:paraId="2CBA9E48"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14" w:anchor="h_693126254811971778809234320" w:history="1">
              <w:r w:rsidRPr="000574DE">
                <w:rPr>
                  <w:rFonts w:ascii="Arial" w:eastAsia="Times New Roman" w:hAnsi="Arial" w:cs="Arial"/>
                  <w:color w:val="007BFF"/>
                  <w:sz w:val="24"/>
                  <w:szCs w:val="24"/>
                  <w:u w:val="single"/>
                </w:rPr>
                <w:t>3.3. Điểm mới về hóa đơn hộ kinh doanh năm 2026</w:t>
              </w:r>
            </w:hyperlink>
          </w:p>
          <w:p w14:paraId="0E56F6E4" w14:textId="77777777" w:rsidR="000574DE" w:rsidRPr="000574DE" w:rsidRDefault="000574DE" w:rsidP="000574DE">
            <w:pPr>
              <w:spacing w:beforeAutospacing="1" w:after="0" w:afterAutospacing="1" w:line="420" w:lineRule="atLeast"/>
              <w:jc w:val="both"/>
              <w:rPr>
                <w:rFonts w:ascii="Arial" w:eastAsia="Times New Roman" w:hAnsi="Arial" w:cs="Arial"/>
                <w:sz w:val="24"/>
                <w:szCs w:val="24"/>
              </w:rPr>
            </w:pPr>
            <w:hyperlink r:id="rId15" w:anchor="h_163868014816581778809238443" w:history="1">
              <w:r w:rsidRPr="000574DE">
                <w:rPr>
                  <w:rFonts w:ascii="Arial" w:eastAsia="Times New Roman" w:hAnsi="Arial" w:cs="Arial"/>
                  <w:color w:val="007BFF"/>
                  <w:sz w:val="24"/>
                  <w:szCs w:val="24"/>
                  <w:u w:val="single"/>
                </w:rPr>
                <w:t>3.4. Hộ kinh doanh dưới 1 tỷ cần lưu ý gì?</w:t>
              </w:r>
            </w:hyperlink>
          </w:p>
        </w:tc>
      </w:tr>
    </w:tbl>
    <w:p w14:paraId="72AA2EF8" w14:textId="77777777" w:rsidR="000574DE" w:rsidRPr="000574DE" w:rsidRDefault="000574DE" w:rsidP="000574DE">
      <w:pPr>
        <w:shd w:val="clear" w:color="auto" w:fill="FFFFFF"/>
        <w:spacing w:beforeAutospacing="1" w:after="0" w:afterAutospacing="1" w:line="240" w:lineRule="auto"/>
        <w:outlineLvl w:val="1"/>
        <w:rPr>
          <w:rFonts w:ascii="inherit" w:eastAsia="Times New Roman" w:hAnsi="inherit" w:cs="Arial"/>
          <w:color w:val="333333"/>
          <w:sz w:val="36"/>
          <w:szCs w:val="36"/>
        </w:rPr>
      </w:pPr>
      <w:r w:rsidRPr="000574DE">
        <w:rPr>
          <w:rFonts w:ascii="Arial" w:eastAsia="Times New Roman" w:hAnsi="Arial" w:cs="Arial"/>
          <w:b/>
          <w:bCs/>
          <w:color w:val="333333"/>
          <w:sz w:val="30"/>
          <w:szCs w:val="30"/>
          <w:lang w:val="vi-VN"/>
        </w:rPr>
        <w:lastRenderedPageBreak/>
        <w:t>1. Hộ kinh doanh doanh thu từ 1 tỷ đồng/năm trở xuống xử lý thuế thế nào từ 2026?</w:t>
      </w:r>
    </w:p>
    <w:p w14:paraId="05D8C1E1"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Theo </w:t>
      </w:r>
      <w:r w:rsidRPr="000574DE">
        <w:rPr>
          <w:rFonts w:ascii="Arial" w:eastAsia="Times New Roman" w:hAnsi="Arial" w:cs="Arial"/>
          <w:b/>
          <w:bCs/>
          <w:color w:val="333333"/>
          <w:sz w:val="24"/>
          <w:szCs w:val="24"/>
          <w:lang w:val="vi-VN"/>
        </w:rPr>
        <w:t>Nghị định 141/2026/NĐ-CP</w:t>
      </w:r>
      <w:r w:rsidRPr="000574DE">
        <w:rPr>
          <w:rFonts w:ascii="Arial" w:eastAsia="Times New Roman" w:hAnsi="Arial" w:cs="Arial"/>
          <w:color w:val="333333"/>
          <w:sz w:val="24"/>
          <w:szCs w:val="24"/>
          <w:lang w:val="vi-VN"/>
        </w:rPr>
        <w:t> có hiệu lực từ ngày 1/1/2026, ngưỡng doanh thu miễn </w:t>
      </w:r>
      <w:hyperlink r:id="rId16" w:tgtFrame="_blank" w:history="1">
        <w:r w:rsidRPr="000574DE">
          <w:rPr>
            <w:rFonts w:ascii="Arial" w:eastAsia="Times New Roman" w:hAnsi="Arial" w:cs="Arial"/>
            <w:b/>
            <w:bCs/>
            <w:color w:val="007BFF"/>
            <w:sz w:val="24"/>
            <w:szCs w:val="24"/>
            <w:lang w:val="vi-VN"/>
          </w:rPr>
          <w:t>thuế GTGT</w:t>
        </w:r>
      </w:hyperlink>
      <w:r w:rsidRPr="000574DE">
        <w:rPr>
          <w:rFonts w:ascii="Arial" w:eastAsia="Times New Roman" w:hAnsi="Arial" w:cs="Arial"/>
          <w:color w:val="333333"/>
          <w:sz w:val="24"/>
          <w:szCs w:val="24"/>
          <w:lang w:val="vi-VN"/>
        </w:rPr>
        <w:t> và thuế TNCN đối với hộ kinh doanh, cá nhân kinh doanh được nâng từ 500 triệu đồng/năm lên 1 tỷ đồng/năm. Điều này đồng nghĩa với việc nhiều hộ kinh doanh nhỏ sẽ không còn thuộc diện nộp thuế định kỳ như trước, nhưng vẫn phải thực hiện nghĩa vụ thông báo doanh thu theo quy định.</w:t>
      </w:r>
    </w:p>
    <w:p w14:paraId="679289DC"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t>1.1. Hộ kinh doanh doanh thu đến 1 tỷ đồng/năm có phải nộp thuế không?</w:t>
      </w:r>
    </w:p>
    <w:p w14:paraId="7BBFB4CE"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Từ năm 2026, hộ kinh doanh có tổng doanh thu trong năm dương lịch không vượt quá 1 tỷ đồng thuộc diện:</w:t>
      </w:r>
    </w:p>
    <w:p w14:paraId="048834A8"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Không phải nộp thuế GTGT.</w:t>
      </w:r>
    </w:p>
    <w:p w14:paraId="7858C135"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Không phải nộp </w:t>
      </w:r>
      <w:hyperlink r:id="rId17" w:tgtFrame="_blank" w:history="1">
        <w:r w:rsidRPr="000574DE">
          <w:rPr>
            <w:rFonts w:ascii="Arial" w:eastAsia="Times New Roman" w:hAnsi="Arial" w:cs="Arial"/>
            <w:b/>
            <w:bCs/>
            <w:color w:val="007BFF"/>
            <w:sz w:val="24"/>
            <w:szCs w:val="24"/>
            <w:lang w:val="vi-VN"/>
          </w:rPr>
          <w:t>thuế thu nhập cá nhân</w:t>
        </w:r>
      </w:hyperlink>
      <w:r w:rsidRPr="000574DE">
        <w:rPr>
          <w:rFonts w:ascii="Arial" w:eastAsia="Times New Roman" w:hAnsi="Arial" w:cs="Arial"/>
          <w:color w:val="333333"/>
          <w:sz w:val="24"/>
          <w:szCs w:val="24"/>
          <w:lang w:val="vi-VN"/>
        </w:rPr>
        <w:t>.</w:t>
      </w:r>
    </w:p>
    <w:p w14:paraId="7FF90696"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Không phải kê khai thuế theo quý.</w:t>
      </w:r>
    </w:p>
    <w:p w14:paraId="0F7E9DE8"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Thay vào đó, hộ kinh doanh chỉ cần thực hiện thông báo doanh thu theo </w:t>
      </w:r>
      <w:r w:rsidRPr="000574DE">
        <w:rPr>
          <w:rFonts w:ascii="Arial" w:eastAsia="Times New Roman" w:hAnsi="Arial" w:cs="Arial"/>
          <w:b/>
          <w:bCs/>
          <w:color w:val="333333"/>
          <w:sz w:val="24"/>
          <w:szCs w:val="24"/>
          <w:lang w:val="vi-VN"/>
        </w:rPr>
        <w:t>Mẫu số 01/TKN-CNKD</w:t>
      </w:r>
      <w:r w:rsidRPr="000574DE">
        <w:rPr>
          <w:rFonts w:ascii="Arial" w:eastAsia="Times New Roman" w:hAnsi="Arial" w:cs="Arial"/>
          <w:color w:val="333333"/>
          <w:sz w:val="24"/>
          <w:szCs w:val="24"/>
          <w:lang w:val="vi-VN"/>
        </w:rPr>
        <w:t> ban hành kèm </w:t>
      </w:r>
      <w:r w:rsidRPr="000574DE">
        <w:rPr>
          <w:rFonts w:ascii="Arial" w:eastAsia="Times New Roman" w:hAnsi="Arial" w:cs="Arial"/>
          <w:b/>
          <w:bCs/>
          <w:color w:val="333333"/>
          <w:sz w:val="24"/>
          <w:szCs w:val="24"/>
          <w:lang w:val="vi-VN"/>
        </w:rPr>
        <w:t>Thông tư 18/2026/TT-BTC</w:t>
      </w:r>
      <w:r w:rsidRPr="000574DE">
        <w:rPr>
          <w:rFonts w:ascii="Arial" w:eastAsia="Times New Roman" w:hAnsi="Arial" w:cs="Arial"/>
          <w:color w:val="333333"/>
          <w:sz w:val="24"/>
          <w:szCs w:val="24"/>
          <w:lang w:val="vi-VN"/>
        </w:rPr>
        <w:t> để cơ quan thuế theo dõi.</w:t>
      </w:r>
    </w:p>
    <w:p w14:paraId="077C990A"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lastRenderedPageBreak/>
        <w:t>1.2. Tần suất thông báo doanh thu đối với hộ kinh doanh miễn thuế</w:t>
      </w:r>
    </w:p>
    <w:p w14:paraId="5207BA3F"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Tùy thời điểm bắt đầu hoạt động kinh doanh, hộ kinh doanh thực hiện như sau:</w:t>
      </w:r>
    </w:p>
    <w:p w14:paraId="0D80E3C6"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w:t>
      </w:r>
      <w:r w:rsidRPr="000574DE">
        <w:rPr>
          <w:rFonts w:ascii="Arial" w:eastAsia="Times New Roman" w:hAnsi="Arial" w:cs="Arial"/>
          <w:b/>
          <w:bCs/>
          <w:color w:val="333333"/>
          <w:sz w:val="24"/>
          <w:szCs w:val="24"/>
          <w:lang w:val="vi-VN"/>
        </w:rPr>
        <w:t>Hộ đang hoạt động ổn định:</w:t>
      </w:r>
      <w:r w:rsidRPr="000574DE">
        <w:rPr>
          <w:rFonts w:ascii="Arial" w:eastAsia="Times New Roman" w:hAnsi="Arial" w:cs="Arial"/>
          <w:color w:val="333333"/>
          <w:sz w:val="24"/>
          <w:szCs w:val="24"/>
          <w:lang w:val="vi-VN"/>
        </w:rPr>
        <w:t> Thông báo doanh thu 1 lần/năm, chậm nhất ngày 31/1 năm sau.</w:t>
      </w:r>
    </w:p>
    <w:p w14:paraId="24AED116"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w:t>
      </w:r>
      <w:r w:rsidRPr="000574DE">
        <w:rPr>
          <w:rFonts w:ascii="Arial" w:eastAsia="Times New Roman" w:hAnsi="Arial" w:cs="Arial"/>
          <w:b/>
          <w:bCs/>
          <w:color w:val="333333"/>
          <w:sz w:val="24"/>
          <w:szCs w:val="24"/>
          <w:lang w:val="vi-VN"/>
        </w:rPr>
        <w:t>Hộ mới thành lập trong năm:</w:t>
      </w:r>
      <w:r w:rsidRPr="000574DE">
        <w:rPr>
          <w:rFonts w:ascii="Arial" w:eastAsia="Times New Roman" w:hAnsi="Arial" w:cs="Arial"/>
          <w:color w:val="333333"/>
          <w:sz w:val="24"/>
          <w:szCs w:val="24"/>
          <w:lang w:val="vi-VN"/>
        </w:rPr>
        <w:t> Thông báo doanh thu 2 lần:</w:t>
      </w:r>
    </w:p>
    <w:p w14:paraId="61980EA2"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+ 6 tháng đầu năm: chậm nhất ngày 31/7.</w:t>
      </w:r>
    </w:p>
    <w:p w14:paraId="21764E4C"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+ 6 tháng cuối năm: chậm nhất ngày 31/1 năm sau.</w:t>
      </w:r>
    </w:p>
    <w:p w14:paraId="52A66D3C"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t>1.3. Trường hợp hộ kinh doanh doanh thu từ trên 500 triệu đến 1 tỷ đồng năm 2026 cần xử lý ra sao?</w:t>
      </w:r>
    </w:p>
    <w:p w14:paraId="55B97668"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Do thay đổi chính sách giữa giai đoạn đầu năm, nhóm hộ kinh doanh này được hướng dẫn theo 3 tình huống cụ thể:</w:t>
      </w:r>
    </w:p>
    <w:p w14:paraId="470044EE" w14:textId="77777777" w:rsidR="000574DE" w:rsidRPr="000574DE" w:rsidRDefault="000574DE" w:rsidP="000574DE">
      <w:pPr>
        <w:shd w:val="clear" w:color="auto" w:fill="FFFFFF"/>
        <w:spacing w:beforeAutospacing="1" w:after="0" w:afterAutospacing="1" w:line="630" w:lineRule="atLeast"/>
        <w:jc w:val="both"/>
        <w:outlineLvl w:val="2"/>
        <w:rPr>
          <w:rFonts w:ascii="inherit" w:eastAsia="Times New Roman" w:hAnsi="inherit" w:cs="Arial"/>
          <w:color w:val="333333"/>
          <w:sz w:val="27"/>
          <w:szCs w:val="27"/>
        </w:rPr>
      </w:pPr>
      <w:r w:rsidRPr="000574DE">
        <w:rPr>
          <w:rFonts w:ascii="Arial" w:eastAsia="Times New Roman" w:hAnsi="Arial" w:cs="Arial"/>
          <w:b/>
          <w:bCs/>
          <w:color w:val="236FA1"/>
          <w:sz w:val="24"/>
          <w:szCs w:val="24"/>
          <w:lang w:val="vi-VN"/>
        </w:rPr>
        <w:t>Trường hợp 1: Chưa nộp tờ khai thuế quý 1/2026</w:t>
      </w:r>
    </w:p>
    <w:p w14:paraId="70612D6F"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Nếu hộ kinh doanh chưa thực hiện </w:t>
      </w:r>
      <w:hyperlink r:id="rId18" w:tgtFrame="_blank" w:history="1">
        <w:r w:rsidRPr="000574DE">
          <w:rPr>
            <w:rFonts w:ascii="Arial" w:eastAsia="Times New Roman" w:hAnsi="Arial" w:cs="Arial"/>
            <w:b/>
            <w:bCs/>
            <w:color w:val="007BFF"/>
            <w:sz w:val="24"/>
            <w:szCs w:val="24"/>
            <w:lang w:val="vi-VN"/>
          </w:rPr>
          <w:t>kê khai thuế</w:t>
        </w:r>
      </w:hyperlink>
      <w:r w:rsidRPr="000574DE">
        <w:rPr>
          <w:rFonts w:ascii="Arial" w:eastAsia="Times New Roman" w:hAnsi="Arial" w:cs="Arial"/>
          <w:color w:val="333333"/>
          <w:sz w:val="24"/>
          <w:szCs w:val="24"/>
          <w:lang w:val="vi-VN"/>
        </w:rPr>
        <w:t> quý 1, cần:</w:t>
      </w:r>
    </w:p>
    <w:p w14:paraId="5B18E665"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Thông báo số tài khoản ngân hàng với cơ quan thuế.</w:t>
      </w:r>
    </w:p>
    <w:p w14:paraId="654BA042"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Theo dõi doanh thu thực tế qua sổ kế toán.</w:t>
      </w:r>
    </w:p>
    <w:p w14:paraId="214FEF93"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Cuối năm, nếu doanh thu không vượt 1 tỷ đồng: Gửi Mẫu 01/TKN-CNKD trước ngày 31/1/2027.</w:t>
      </w:r>
    </w:p>
    <w:p w14:paraId="12A6ADF3"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b/>
          <w:bCs/>
          <w:color w:val="333333"/>
          <w:sz w:val="24"/>
          <w:szCs w:val="24"/>
          <w:lang w:val="vi-VN"/>
        </w:rPr>
        <w:t>Đối với hộ mới kinh doanh:</w:t>
      </w:r>
    </w:p>
    <w:p w14:paraId="1F6C0B10"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Nộp thông báo doanh thu 6 tháng đầu năm trước 31/7/2026.</w:t>
      </w:r>
    </w:p>
    <w:p w14:paraId="0EF118BE"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Nộp thông báo doanh thu 6 tháng cuối năm trước 31/1/2027.</w:t>
      </w:r>
    </w:p>
    <w:p w14:paraId="524EDFC7"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b/>
          <w:bCs/>
          <w:color w:val="333333"/>
          <w:sz w:val="24"/>
          <w:szCs w:val="24"/>
          <w:lang w:val="vi-VN"/>
        </w:rPr>
        <w:t>Nếu doanh thu thực tế vượt 1 tỷ đồng trong năm:</w:t>
      </w:r>
    </w:p>
    <w:p w14:paraId="36EBBC52"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Kê khai thuế tại quý phát sinh vượt ngưỡng.</w:t>
      </w:r>
    </w:p>
    <w:p w14:paraId="0CA46644"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Nộp đầy đủ số thuế phát sinh vào ngân sách nhà nước.</w:t>
      </w:r>
    </w:p>
    <w:p w14:paraId="19F3F554" w14:textId="77777777" w:rsidR="000574DE" w:rsidRPr="000574DE" w:rsidRDefault="000574DE" w:rsidP="000574DE">
      <w:pPr>
        <w:shd w:val="clear" w:color="auto" w:fill="FFFFFF"/>
        <w:spacing w:beforeAutospacing="1" w:after="0" w:afterAutospacing="1" w:line="630" w:lineRule="atLeast"/>
        <w:jc w:val="both"/>
        <w:outlineLvl w:val="2"/>
        <w:rPr>
          <w:rFonts w:ascii="inherit" w:eastAsia="Times New Roman" w:hAnsi="inherit" w:cs="Arial"/>
          <w:color w:val="333333"/>
          <w:sz w:val="27"/>
          <w:szCs w:val="27"/>
        </w:rPr>
      </w:pPr>
      <w:r w:rsidRPr="000574DE">
        <w:rPr>
          <w:rFonts w:ascii="Arial" w:eastAsia="Times New Roman" w:hAnsi="Arial" w:cs="Arial"/>
          <w:b/>
          <w:bCs/>
          <w:color w:val="236FA1"/>
          <w:sz w:val="24"/>
          <w:szCs w:val="24"/>
          <w:lang w:val="vi-VN"/>
        </w:rPr>
        <w:t>Trường hợp 2: Đã nộp tờ khai quý 1 nhưng chưa nộp tiền thuế</w:t>
      </w:r>
    </w:p>
    <w:p w14:paraId="3F175AF4"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Nếu đã kê khai nhưng chưa nộp tiền:</w:t>
      </w:r>
    </w:p>
    <w:p w14:paraId="7E090865"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Tạm thời chưa cần nộp thuế.</w:t>
      </w:r>
    </w:p>
    <w:p w14:paraId="3B940F04"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Chờ hướng dẫn chính thức từ cơ quan thuế quản lý.</w:t>
      </w:r>
    </w:p>
    <w:p w14:paraId="3A10DDE7"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Ngoài ra, hộ kinh doanh có thể:</w:t>
      </w:r>
    </w:p>
    <w:p w14:paraId="341DAB67"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Điều chỉnh doanh thu về 0 nếu muốn tránh phát sinh tiền chậm nộp.</w:t>
      </w:r>
    </w:p>
    <w:p w14:paraId="71456901"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lastRenderedPageBreak/>
        <w:t>- Giữ nguyên thông tin tài khoản ngân hàng đã đăng ký.</w:t>
      </w:r>
    </w:p>
    <w:p w14:paraId="0EDA3C5C"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Không nên hủy tờ khai vì hệ thống chưa hỗ trợ trực tuyến, thủ tục giấy tờ phức tạp.</w:t>
      </w:r>
    </w:p>
    <w:p w14:paraId="654A4599"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Sau đó:</w:t>
      </w:r>
    </w:p>
    <w:p w14:paraId="6D5CF6EA"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Nếu doanh thu cả năm không vượt 1 tỷ đồng: thực hiện thông báo doanh thu.</w:t>
      </w:r>
    </w:p>
    <w:p w14:paraId="22796446"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Nếu vượt ngưỡng: kê khai và nộp thuế từ quý phát sinh.</w:t>
      </w:r>
    </w:p>
    <w:p w14:paraId="26088F3F" w14:textId="77777777" w:rsidR="000574DE" w:rsidRPr="000574DE" w:rsidRDefault="000574DE" w:rsidP="000574DE">
      <w:pPr>
        <w:shd w:val="clear" w:color="auto" w:fill="FFFFFF"/>
        <w:spacing w:beforeAutospacing="1" w:after="0" w:afterAutospacing="1" w:line="630" w:lineRule="atLeast"/>
        <w:jc w:val="both"/>
        <w:outlineLvl w:val="2"/>
        <w:rPr>
          <w:rFonts w:ascii="inherit" w:eastAsia="Times New Roman" w:hAnsi="inherit" w:cs="Arial"/>
          <w:color w:val="333333"/>
          <w:sz w:val="27"/>
          <w:szCs w:val="27"/>
        </w:rPr>
      </w:pPr>
      <w:r w:rsidRPr="000574DE">
        <w:rPr>
          <w:rFonts w:ascii="Arial" w:eastAsia="Times New Roman" w:hAnsi="Arial" w:cs="Arial"/>
          <w:b/>
          <w:bCs/>
          <w:color w:val="236FA1"/>
          <w:sz w:val="24"/>
          <w:szCs w:val="24"/>
          <w:lang w:val="vi-VN"/>
        </w:rPr>
        <w:t>Trường hợp 3: Đã nộp tờ khai quý 1 và đã nộp tiền thuế</w:t>
      </w:r>
    </w:p>
    <w:p w14:paraId="316C381B"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Với hộ đã nộp tiền vào ngân sách:</w:t>
      </w:r>
    </w:p>
    <w:p w14:paraId="1FB143F2"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Tiếp tục theo dõi doanh thu thực tế cả năm.</w:t>
      </w:r>
    </w:p>
    <w:p w14:paraId="6E88501C"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Chưa nên làm thủ tục hoàn thuế ngay.</w:t>
      </w:r>
    </w:p>
    <w:p w14:paraId="7E764106"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Xử lý số tiền đã nộp:</w:t>
      </w:r>
    </w:p>
    <w:p w14:paraId="19A970F4"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Nếu doanh thu cả năm không vượt 1 tỷ đồng: Làm thủ tục hoàn thuế sau khi đủ căn cứ xác định miễn thuế.</w:t>
      </w:r>
    </w:p>
    <w:p w14:paraId="145EF82A"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Nếu doanh thu vượt ngưỡng: Số tiền đã nộp được bù trừ vào nghĩa vụ thuế các quý tiếp theo, nếu thiếu, phải nộp bổ sung.</w:t>
      </w:r>
    </w:p>
    <w:tbl>
      <w:tblPr>
        <w:tblW w:w="11849" w:type="dxa"/>
        <w:tblBorders>
          <w:top w:val="outset" w:sz="6" w:space="0" w:color="ECF0F1"/>
          <w:left w:val="outset" w:sz="6" w:space="0" w:color="ECF0F1"/>
          <w:bottom w:val="outset" w:sz="6" w:space="0" w:color="ECF0F1"/>
          <w:right w:val="outset" w:sz="6" w:space="0" w:color="ECF0F1"/>
        </w:tblBorders>
        <w:shd w:val="clear" w:color="auto" w:fill="ECF0F1"/>
        <w:tblCellMar>
          <w:left w:w="0" w:type="dxa"/>
          <w:right w:w="0" w:type="dxa"/>
        </w:tblCellMar>
        <w:tblLook w:val="04A0" w:firstRow="1" w:lastRow="0" w:firstColumn="1" w:lastColumn="0" w:noHBand="0" w:noVBand="1"/>
      </w:tblPr>
      <w:tblGrid>
        <w:gridCol w:w="11849"/>
      </w:tblGrid>
      <w:tr w:rsidR="000574DE" w:rsidRPr="000574DE" w14:paraId="69D8B486" w14:textId="77777777" w:rsidTr="000574DE">
        <w:tc>
          <w:tcPr>
            <w:tcW w:w="0" w:type="auto"/>
            <w:tcBorders>
              <w:top w:val="single" w:sz="6" w:space="0" w:color="ECF0F1"/>
              <w:left w:val="single" w:sz="6" w:space="0" w:color="ECF0F1"/>
              <w:bottom w:val="single" w:sz="6" w:space="0" w:color="ECF0F1"/>
              <w:right w:val="single" w:sz="6" w:space="0" w:color="ECF0F1"/>
            </w:tcBorders>
            <w:shd w:val="clear" w:color="auto" w:fill="ECF0F1"/>
            <w:tcMar>
              <w:top w:w="150" w:type="dxa"/>
              <w:left w:w="600" w:type="dxa"/>
              <w:bottom w:w="150" w:type="dxa"/>
              <w:right w:w="150" w:type="dxa"/>
            </w:tcMar>
            <w:vAlign w:val="center"/>
            <w:hideMark/>
          </w:tcPr>
          <w:p w14:paraId="1A632D97" w14:textId="77777777" w:rsidR="000574DE" w:rsidRPr="000574DE" w:rsidRDefault="000574DE" w:rsidP="000574DE">
            <w:pPr>
              <w:spacing w:after="0" w:line="420" w:lineRule="atLeast"/>
              <w:rPr>
                <w:rFonts w:ascii="Arial" w:eastAsia="Times New Roman" w:hAnsi="Arial" w:cs="Arial"/>
                <w:sz w:val="24"/>
                <w:szCs w:val="24"/>
              </w:rPr>
            </w:pPr>
            <w:r w:rsidRPr="000574DE">
              <w:rPr>
                <w:rFonts w:ascii="Arial" w:eastAsia="Times New Roman" w:hAnsi="Arial" w:cs="Arial"/>
                <w:b/>
                <w:bCs/>
                <w:sz w:val="24"/>
                <w:szCs w:val="24"/>
              </w:rPr>
              <w:t>Có thể bạn quan tâm: </w:t>
            </w:r>
            <w:hyperlink r:id="rId19" w:tgtFrame="_blank" w:history="1">
              <w:r w:rsidRPr="000574DE">
                <w:rPr>
                  <w:rFonts w:ascii="Arial" w:eastAsia="Times New Roman" w:hAnsi="Arial" w:cs="Arial"/>
                  <w:b/>
                  <w:bCs/>
                  <w:color w:val="007BFF"/>
                  <w:sz w:val="24"/>
                  <w:szCs w:val="24"/>
                  <w:u w:val="single"/>
                </w:rPr>
                <w:t>Cơ chế hoàn thuế TNCN tự động mới nhất</w:t>
              </w:r>
            </w:hyperlink>
            <w:r w:rsidRPr="000574DE">
              <w:rPr>
                <w:rFonts w:ascii="Arial" w:eastAsia="Times New Roman" w:hAnsi="Arial" w:cs="Arial"/>
                <w:b/>
                <w:bCs/>
                <w:sz w:val="24"/>
                <w:szCs w:val="24"/>
              </w:rPr>
              <w:t>.</w:t>
            </w:r>
          </w:p>
        </w:tc>
      </w:tr>
    </w:tbl>
    <w:p w14:paraId="39925B23"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b/>
          <w:bCs/>
          <w:color w:val="000000"/>
          <w:sz w:val="24"/>
          <w:szCs w:val="24"/>
          <w:lang w:val="vi-VN"/>
        </w:rPr>
        <w:t>Lưu ý:</w:t>
      </w:r>
    </w:p>
    <w:p w14:paraId="3EBF1B1E"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Cơ quan thuế khuyến nghị hộ kinh doanh:</w:t>
      </w:r>
    </w:p>
    <w:p w14:paraId="448019BA"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Không nên vội vàng hoàn thuế trong năm 2026.</w:t>
      </w:r>
    </w:p>
    <w:p w14:paraId="0167C785"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Chủ động theo dõi doanh thu thực tế.</w:t>
      </w:r>
    </w:p>
    <w:p w14:paraId="055DEFB8"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Thực hiện đúng biểu mẫu và thời hạn thông báo.</w:t>
      </w:r>
    </w:p>
    <w:p w14:paraId="7FC2145F"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Chờ hướng dẫn chi tiết từ cơ quan thuế địa phương để tránh sai sót thủ tục.</w:t>
      </w:r>
    </w:p>
    <w:p w14:paraId="5394847E"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Việc nâng ngưỡng miễn thuế lên 1 tỷ đồng giúp giảm đáng kể nghĩa vụ tài chính cho hàng triệu hộ kinh doanh, nhưng không đồng nghĩa với việc bỏ hoàn toàn trách nhiệm quản lý doanh thu và tuân thủ quy định thuế.</w:t>
      </w:r>
    </w:p>
    <w:p w14:paraId="03ABB9A8" w14:textId="77777777" w:rsidR="000574DE" w:rsidRPr="000574DE" w:rsidRDefault="000574DE" w:rsidP="000574DE">
      <w:pPr>
        <w:shd w:val="clear" w:color="auto" w:fill="FFFFFF"/>
        <w:spacing w:beforeAutospacing="1" w:after="0" w:afterAutospacing="1" w:line="240" w:lineRule="auto"/>
        <w:outlineLvl w:val="1"/>
        <w:rPr>
          <w:rFonts w:ascii="inherit" w:eastAsia="Times New Roman" w:hAnsi="inherit" w:cs="Arial"/>
          <w:color w:val="333333"/>
          <w:sz w:val="36"/>
          <w:szCs w:val="36"/>
        </w:rPr>
      </w:pPr>
      <w:r w:rsidRPr="000574DE">
        <w:rPr>
          <w:rFonts w:ascii="Arial" w:eastAsia="Times New Roman" w:hAnsi="Arial" w:cs="Arial"/>
          <w:b/>
          <w:bCs/>
          <w:color w:val="333333"/>
          <w:sz w:val="30"/>
          <w:szCs w:val="30"/>
          <w:lang w:val="vi-VN"/>
        </w:rPr>
        <w:t>2. Hộ kinh doanh dưới 1 tỷ đồng năm 2026 tính thuế thế nào?</w:t>
      </w:r>
    </w:p>
    <w:p w14:paraId="6DFE1A60" w14:textId="08A3987E" w:rsidR="000574DE" w:rsidRPr="000574DE" w:rsidRDefault="000574DE" w:rsidP="000574DE">
      <w:pPr>
        <w:shd w:val="clear" w:color="auto" w:fill="FFFFFF"/>
        <w:spacing w:after="0" w:line="480" w:lineRule="auto"/>
        <w:rPr>
          <w:rFonts w:ascii="Arial" w:eastAsia="Times New Roman" w:hAnsi="Arial" w:cs="Arial"/>
          <w:color w:val="333333"/>
          <w:sz w:val="24"/>
          <w:szCs w:val="24"/>
        </w:rPr>
      </w:pPr>
      <w:r w:rsidRPr="000574DE">
        <w:rPr>
          <w:rFonts w:ascii="Arial" w:eastAsia="Times New Roman" w:hAnsi="Arial" w:cs="Arial"/>
          <w:noProof/>
          <w:color w:val="333333"/>
          <w:sz w:val="24"/>
          <w:szCs w:val="24"/>
        </w:rPr>
        <w:lastRenderedPageBreak/>
        <w:drawing>
          <wp:inline distT="0" distB="0" distL="0" distR="0" wp14:anchorId="288F15E4" wp14:editId="7238D07F">
            <wp:extent cx="5943600" cy="3959860"/>
            <wp:effectExtent l="0" t="0" r="0" b="2540"/>
            <wp:docPr id="2" name="Picture 2" descr="Hướng dẫn tính thu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ướng dẫn tính thuế"/>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0574DE">
        <w:rPr>
          <w:rFonts w:ascii="Arial" w:eastAsia="Times New Roman" w:hAnsi="Arial" w:cs="Arial"/>
          <w:i/>
          <w:iCs/>
          <w:color w:val="000000"/>
          <w:sz w:val="24"/>
          <w:szCs w:val="24"/>
        </w:rPr>
        <w:t>Các ngưỡng doanh thu tính thuế đối với hộ và cá nhân kinh doanh.</w:t>
      </w:r>
    </w:p>
    <w:p w14:paraId="4846C57E"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Căn cứ </w:t>
      </w:r>
      <w:r w:rsidRPr="000574DE">
        <w:rPr>
          <w:rFonts w:ascii="Arial" w:eastAsia="Times New Roman" w:hAnsi="Arial" w:cs="Arial"/>
          <w:b/>
          <w:bCs/>
          <w:color w:val="333333"/>
          <w:sz w:val="24"/>
          <w:szCs w:val="24"/>
          <w:lang w:val="vi-VN"/>
        </w:rPr>
        <w:t>Khoản 1, Điều 1, Nghị định 141/2026/NĐ-CP</w:t>
      </w:r>
      <w:r w:rsidRPr="000574DE">
        <w:rPr>
          <w:rFonts w:ascii="Arial" w:eastAsia="Times New Roman" w:hAnsi="Arial" w:cs="Arial"/>
          <w:color w:val="333333"/>
          <w:sz w:val="24"/>
          <w:szCs w:val="24"/>
          <w:lang w:val="vi-VN"/>
        </w:rPr>
        <w:t> sửa đổi, bổ sung </w:t>
      </w:r>
      <w:hyperlink r:id="rId21" w:tgtFrame="_blank" w:history="1">
        <w:r w:rsidRPr="000574DE">
          <w:rPr>
            <w:rFonts w:ascii="Arial" w:eastAsia="Times New Roman" w:hAnsi="Arial" w:cs="Arial"/>
            <w:b/>
            <w:bCs/>
            <w:color w:val="007BFF"/>
            <w:sz w:val="24"/>
            <w:szCs w:val="24"/>
            <w:lang w:val="vi-VN"/>
          </w:rPr>
          <w:t>Nghị định 68/2026/NĐ-CP</w:t>
        </w:r>
      </w:hyperlink>
      <w:r w:rsidRPr="000574DE">
        <w:rPr>
          <w:rFonts w:ascii="Arial" w:eastAsia="Times New Roman" w:hAnsi="Arial" w:cs="Arial"/>
          <w:color w:val="333333"/>
          <w:sz w:val="24"/>
          <w:szCs w:val="24"/>
          <w:lang w:val="vi-VN"/>
        </w:rPr>
        <w:t> và</w:t>
      </w:r>
      <w:r w:rsidRPr="000574DE">
        <w:rPr>
          <w:rFonts w:ascii="Arial" w:eastAsia="Times New Roman" w:hAnsi="Arial" w:cs="Arial"/>
          <w:b/>
          <w:bCs/>
          <w:color w:val="333333"/>
          <w:sz w:val="24"/>
          <w:szCs w:val="24"/>
          <w:lang w:val="vi-VN"/>
        </w:rPr>
        <w:t> Điều 7, Luật Thuế thu nhập cá nhân 2025</w:t>
      </w:r>
      <w:r w:rsidRPr="000574DE">
        <w:rPr>
          <w:rFonts w:ascii="Arial" w:eastAsia="Times New Roman" w:hAnsi="Arial" w:cs="Arial"/>
          <w:color w:val="333333"/>
          <w:sz w:val="24"/>
          <w:szCs w:val="24"/>
          <w:lang w:val="vi-VN"/>
        </w:rPr>
        <w:t>, từ ngày 1/1/2026, hộ kinh doanh, cá nhân kinh doanh được áp dụng ngưỡng doanh thu miễn thuế mới là 1 tỷ đồng/năm. Theo đó, mức thuế GTGT và thuế TNCN sẽ được xác định theo từng nhóm doanh thu như sau:</w:t>
      </w:r>
    </w:p>
    <w:tbl>
      <w:tblPr>
        <w:tblW w:w="11849" w:type="dxa"/>
        <w:tblCellMar>
          <w:left w:w="0" w:type="dxa"/>
          <w:right w:w="0" w:type="dxa"/>
        </w:tblCellMar>
        <w:tblLook w:val="04A0" w:firstRow="1" w:lastRow="0" w:firstColumn="1" w:lastColumn="0" w:noHBand="0" w:noVBand="1"/>
      </w:tblPr>
      <w:tblGrid>
        <w:gridCol w:w="1436"/>
        <w:gridCol w:w="1673"/>
        <w:gridCol w:w="2992"/>
        <w:gridCol w:w="2874"/>
        <w:gridCol w:w="2874"/>
      </w:tblGrid>
      <w:tr w:rsidR="000574DE" w:rsidRPr="000574DE" w14:paraId="32CC39FB" w14:textId="77777777" w:rsidTr="000574DE">
        <w:trPr>
          <w:trHeight w:val="1040"/>
        </w:trPr>
        <w:tc>
          <w:tcPr>
            <w:tcW w:w="1095" w:type="dxa"/>
            <w:tcBorders>
              <w:top w:val="single" w:sz="8" w:space="0" w:color="000000"/>
              <w:left w:val="single" w:sz="8" w:space="0" w:color="000000"/>
              <w:bottom w:val="single" w:sz="8" w:space="0" w:color="000000"/>
              <w:right w:val="single" w:sz="8" w:space="0" w:color="000000"/>
            </w:tcBorders>
            <w:shd w:val="clear" w:color="auto" w:fill="C2E0F4"/>
            <w:tcMar>
              <w:top w:w="100" w:type="dxa"/>
              <w:left w:w="100" w:type="dxa"/>
              <w:bottom w:w="100" w:type="dxa"/>
              <w:right w:w="100" w:type="dxa"/>
            </w:tcMar>
            <w:vAlign w:val="center"/>
            <w:hideMark/>
          </w:tcPr>
          <w:p w14:paraId="5E134CE9"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Loại thuế</w:t>
            </w:r>
          </w:p>
        </w:tc>
        <w:tc>
          <w:tcPr>
            <w:tcW w:w="1275" w:type="dxa"/>
            <w:tcBorders>
              <w:top w:val="single" w:sz="6" w:space="0" w:color="000000"/>
              <w:left w:val="nil"/>
              <w:bottom w:val="single" w:sz="6" w:space="0" w:color="000000"/>
              <w:right w:val="single" w:sz="6" w:space="0" w:color="000000"/>
            </w:tcBorders>
            <w:shd w:val="clear" w:color="auto" w:fill="C2E0F4"/>
            <w:tcMar>
              <w:top w:w="100" w:type="dxa"/>
              <w:left w:w="100" w:type="dxa"/>
              <w:bottom w:w="100" w:type="dxa"/>
              <w:right w:w="100" w:type="dxa"/>
            </w:tcMar>
            <w:vAlign w:val="center"/>
            <w:hideMark/>
          </w:tcPr>
          <w:p w14:paraId="257A7431"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Doanh thu từ 1 tỷ đồng trở xuống</w:t>
            </w:r>
          </w:p>
        </w:tc>
        <w:tc>
          <w:tcPr>
            <w:tcW w:w="2280" w:type="dxa"/>
            <w:tcBorders>
              <w:top w:val="single" w:sz="6" w:space="0" w:color="000000"/>
              <w:left w:val="nil"/>
              <w:bottom w:val="single" w:sz="6" w:space="0" w:color="000000"/>
              <w:right w:val="single" w:sz="6" w:space="0" w:color="000000"/>
            </w:tcBorders>
            <w:shd w:val="clear" w:color="auto" w:fill="C2E0F4"/>
            <w:tcMar>
              <w:top w:w="100" w:type="dxa"/>
              <w:left w:w="100" w:type="dxa"/>
              <w:bottom w:w="100" w:type="dxa"/>
              <w:right w:w="100" w:type="dxa"/>
            </w:tcMar>
            <w:vAlign w:val="center"/>
            <w:hideMark/>
          </w:tcPr>
          <w:p w14:paraId="65C844B4"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Doanh thu trên 1 tỷ đến 3 tỷ đồng</w:t>
            </w:r>
          </w:p>
        </w:tc>
        <w:tc>
          <w:tcPr>
            <w:tcW w:w="2190" w:type="dxa"/>
            <w:tcBorders>
              <w:top w:val="single" w:sz="6" w:space="0" w:color="000000"/>
              <w:left w:val="nil"/>
              <w:bottom w:val="single" w:sz="6" w:space="0" w:color="000000"/>
              <w:right w:val="single" w:sz="6" w:space="0" w:color="000000"/>
            </w:tcBorders>
            <w:shd w:val="clear" w:color="auto" w:fill="C2E0F4"/>
            <w:tcMar>
              <w:top w:w="100" w:type="dxa"/>
              <w:left w:w="100" w:type="dxa"/>
              <w:bottom w:w="100" w:type="dxa"/>
              <w:right w:w="100" w:type="dxa"/>
            </w:tcMar>
            <w:vAlign w:val="center"/>
            <w:hideMark/>
          </w:tcPr>
          <w:p w14:paraId="4F00A37A"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Doanh thu trên 3 tỷ đến 50 tỷ đồng</w:t>
            </w:r>
          </w:p>
        </w:tc>
        <w:tc>
          <w:tcPr>
            <w:tcW w:w="2190" w:type="dxa"/>
            <w:tcBorders>
              <w:top w:val="single" w:sz="6" w:space="0" w:color="000000"/>
              <w:left w:val="nil"/>
              <w:bottom w:val="single" w:sz="6" w:space="0" w:color="000000"/>
              <w:right w:val="single" w:sz="6" w:space="0" w:color="000000"/>
            </w:tcBorders>
            <w:shd w:val="clear" w:color="auto" w:fill="C2E0F4"/>
            <w:tcMar>
              <w:top w:w="100" w:type="dxa"/>
              <w:left w:w="100" w:type="dxa"/>
              <w:bottom w:w="100" w:type="dxa"/>
              <w:right w:w="100" w:type="dxa"/>
            </w:tcMar>
            <w:vAlign w:val="center"/>
            <w:hideMark/>
          </w:tcPr>
          <w:p w14:paraId="668C6359"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Doanh thu trên 50 tỷ đồng</w:t>
            </w:r>
          </w:p>
        </w:tc>
      </w:tr>
      <w:tr w:rsidR="000574DE" w:rsidRPr="000574DE" w14:paraId="18CB0250" w14:textId="77777777" w:rsidTr="000574DE">
        <w:trPr>
          <w:trHeight w:val="1310"/>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FD91432"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Thuế GTGT</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25E89CFB"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sz w:val="24"/>
                <w:szCs w:val="24"/>
                <w:lang w:val="vi-VN"/>
              </w:rPr>
              <w:t>Miễn thuế GTGT</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67DB025A"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sz w:val="24"/>
                <w:szCs w:val="24"/>
                <w:lang w:val="vi-VN"/>
              </w:rPr>
              <w:t>Thuế GTGT = Tỷ lệ % x Doanh thu (1%, 2%, 3% hoặc 5% tùy ngành nghề)</w:t>
            </w:r>
          </w:p>
        </w:tc>
        <w:tc>
          <w:tcPr>
            <w:tcW w:w="2190"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57F6273D"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sz w:val="24"/>
                <w:szCs w:val="24"/>
                <w:lang w:val="vi-VN"/>
              </w:rPr>
              <w:t>Thuế GTGT = Tỷ lệ % x Doanh thu (1%, 2%, 3% hoặc 5% tùy ngành nghề)</w:t>
            </w:r>
          </w:p>
        </w:tc>
        <w:tc>
          <w:tcPr>
            <w:tcW w:w="2190"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194C2242"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sz w:val="24"/>
                <w:szCs w:val="24"/>
                <w:lang w:val="vi-VN"/>
              </w:rPr>
              <w:t>Thuế GTGT = Tỷ lệ % x Doanh thu (1%, 2%, 3% hoặc 5% tùy ngành nghề)</w:t>
            </w:r>
          </w:p>
        </w:tc>
      </w:tr>
      <w:tr w:rsidR="000574DE" w:rsidRPr="000574DE" w14:paraId="789A2937" w14:textId="77777777" w:rsidTr="000574DE">
        <w:trPr>
          <w:trHeight w:val="1310"/>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F2483B7"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lastRenderedPageBreak/>
              <w:t>Thuế TNCN</w:t>
            </w:r>
          </w:p>
        </w:tc>
        <w:tc>
          <w:tcPr>
            <w:tcW w:w="1275"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76DDD659"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sz w:val="24"/>
                <w:szCs w:val="24"/>
                <w:lang w:val="vi-VN"/>
              </w:rPr>
              <w:t>Miễn thuế TNCN</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3775107D"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b/>
                <w:bCs/>
                <w:sz w:val="24"/>
                <w:szCs w:val="24"/>
                <w:lang w:val="vi-VN"/>
              </w:rPr>
              <w:t>Cách 1:</w:t>
            </w:r>
            <w:r w:rsidRPr="000574DE">
              <w:rPr>
                <w:rFonts w:ascii="Arial" w:eastAsia="Times New Roman" w:hAnsi="Arial" w:cs="Arial"/>
                <w:sz w:val="24"/>
                <w:szCs w:val="24"/>
                <w:lang w:val="vi-VN"/>
              </w:rPr>
              <w:t> (Doanh thu – 1 tỷ đồng) x tỷ lệ ngành nghề (0,5%; 1%; 1,5%; 2%; 5%)</w:t>
            </w:r>
          </w:p>
        </w:tc>
        <w:tc>
          <w:tcPr>
            <w:tcW w:w="2190"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21066481"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b/>
                <w:bCs/>
                <w:sz w:val="24"/>
                <w:szCs w:val="24"/>
                <w:lang w:val="vi-VN"/>
              </w:rPr>
              <w:t>Cách 2:</w:t>
            </w:r>
            <w:r w:rsidRPr="000574DE">
              <w:rPr>
                <w:rFonts w:ascii="Arial" w:eastAsia="Times New Roman" w:hAnsi="Arial" w:cs="Arial"/>
                <w:sz w:val="24"/>
                <w:szCs w:val="24"/>
                <w:lang w:val="vi-VN"/>
              </w:rPr>
              <w:t> (Doanh thu – Chi phí) x 17% (trừ cho thuê bất động sản)</w:t>
            </w:r>
          </w:p>
        </w:tc>
        <w:tc>
          <w:tcPr>
            <w:tcW w:w="2190"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0D4A5B38"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b/>
                <w:bCs/>
                <w:sz w:val="24"/>
                <w:szCs w:val="24"/>
                <w:lang w:val="vi-VN"/>
              </w:rPr>
              <w:t>Cách 2:</w:t>
            </w:r>
            <w:r w:rsidRPr="000574DE">
              <w:rPr>
                <w:rFonts w:ascii="Arial" w:eastAsia="Times New Roman" w:hAnsi="Arial" w:cs="Arial"/>
                <w:sz w:val="24"/>
                <w:szCs w:val="24"/>
                <w:lang w:val="vi-VN"/>
              </w:rPr>
              <w:t> (Doanh thu – Chi phí) x 20% (trừ cho thuê bất động sản)</w:t>
            </w:r>
          </w:p>
        </w:tc>
      </w:tr>
    </w:tbl>
    <w:p w14:paraId="4D2C13D2"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b/>
          <w:bCs/>
          <w:color w:val="000000"/>
          <w:sz w:val="24"/>
          <w:szCs w:val="24"/>
          <w:lang w:val="vi-VN"/>
        </w:rPr>
        <w:t>Lưu ý về tỷ lệ thuế cụ thể:</w:t>
      </w:r>
    </w:p>
    <w:p w14:paraId="2F014E69"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b/>
          <w:bCs/>
          <w:color w:val="000000"/>
          <w:sz w:val="24"/>
          <w:szCs w:val="24"/>
          <w:lang w:val="vi-VN"/>
        </w:rPr>
        <w:t>Thuế GTGT theo nhóm ngành nghề:</w:t>
      </w:r>
    </w:p>
    <w:p w14:paraId="6029D3EE"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1%:</w:t>
      </w:r>
      <w:r w:rsidRPr="000574DE">
        <w:rPr>
          <w:rFonts w:ascii="Arial" w:eastAsia="Times New Roman" w:hAnsi="Arial" w:cs="Arial"/>
          <w:color w:val="333333"/>
          <w:sz w:val="24"/>
          <w:szCs w:val="24"/>
          <w:lang w:val="vi-VN"/>
        </w:rPr>
        <w:t> Phân phối, cung cấp hàng hóa.</w:t>
      </w:r>
    </w:p>
    <w:p w14:paraId="3FB43DBC"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2%:</w:t>
      </w:r>
      <w:r w:rsidRPr="000574DE">
        <w:rPr>
          <w:rFonts w:ascii="Arial" w:eastAsia="Times New Roman" w:hAnsi="Arial" w:cs="Arial"/>
          <w:color w:val="333333"/>
          <w:sz w:val="24"/>
          <w:szCs w:val="24"/>
          <w:lang w:val="vi-VN"/>
        </w:rPr>
        <w:t> Hoạt động sản xuất, vận tải, dịch vụ có gắn với hàng hóa.</w:t>
      </w:r>
    </w:p>
    <w:p w14:paraId="00B11AD6"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3%:</w:t>
      </w:r>
      <w:r w:rsidRPr="000574DE">
        <w:rPr>
          <w:rFonts w:ascii="Arial" w:eastAsia="Times New Roman" w:hAnsi="Arial" w:cs="Arial"/>
          <w:color w:val="333333"/>
          <w:sz w:val="24"/>
          <w:szCs w:val="24"/>
          <w:lang w:val="vi-VN"/>
        </w:rPr>
        <w:t> Xây dựng không bao thầu nguyên vật liệu.</w:t>
      </w:r>
    </w:p>
    <w:p w14:paraId="255F2670"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5%:</w:t>
      </w:r>
      <w:r w:rsidRPr="000574DE">
        <w:rPr>
          <w:rFonts w:ascii="Arial" w:eastAsia="Times New Roman" w:hAnsi="Arial" w:cs="Arial"/>
          <w:color w:val="333333"/>
          <w:sz w:val="24"/>
          <w:szCs w:val="24"/>
          <w:lang w:val="vi-VN"/>
        </w:rPr>
        <w:t> Dịch vụ và các lĩnh vực khác.</w:t>
      </w:r>
    </w:p>
    <w:p w14:paraId="4E524DFC"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b/>
          <w:bCs/>
          <w:color w:val="000000"/>
          <w:sz w:val="24"/>
          <w:szCs w:val="24"/>
          <w:lang w:val="vi-VN"/>
        </w:rPr>
        <w:t>Thuế TNCN theo nhóm ngành nghề (doanh thu trên 1 tỷ đến 3 tỷ đồng):</w:t>
      </w:r>
    </w:p>
    <w:p w14:paraId="4686A3D6"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0,5%:</w:t>
      </w:r>
      <w:r w:rsidRPr="000574DE">
        <w:rPr>
          <w:rFonts w:ascii="Arial" w:eastAsia="Times New Roman" w:hAnsi="Arial" w:cs="Arial"/>
          <w:color w:val="333333"/>
          <w:sz w:val="24"/>
          <w:szCs w:val="24"/>
          <w:lang w:val="vi-VN"/>
        </w:rPr>
        <w:t> Phân phối hàng hóa.</w:t>
      </w:r>
    </w:p>
    <w:p w14:paraId="36481E76"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1%:</w:t>
      </w:r>
      <w:r w:rsidRPr="000574DE">
        <w:rPr>
          <w:rFonts w:ascii="Arial" w:eastAsia="Times New Roman" w:hAnsi="Arial" w:cs="Arial"/>
          <w:color w:val="333333"/>
          <w:sz w:val="24"/>
          <w:szCs w:val="24"/>
          <w:lang w:val="vi-VN"/>
        </w:rPr>
        <w:t> Dịch vụ, xây dựng có bao thầu vật tư.</w:t>
      </w:r>
    </w:p>
    <w:p w14:paraId="07C566EB"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1,5%:</w:t>
      </w:r>
      <w:r w:rsidRPr="000574DE">
        <w:rPr>
          <w:rFonts w:ascii="Arial" w:eastAsia="Times New Roman" w:hAnsi="Arial" w:cs="Arial"/>
          <w:color w:val="333333"/>
          <w:sz w:val="24"/>
          <w:szCs w:val="24"/>
          <w:lang w:val="vi-VN"/>
        </w:rPr>
        <w:t> Sản xuất, vận tải.</w:t>
      </w:r>
    </w:p>
    <w:p w14:paraId="3B09F4E0"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2%:</w:t>
      </w:r>
      <w:r w:rsidRPr="000574DE">
        <w:rPr>
          <w:rFonts w:ascii="Arial" w:eastAsia="Times New Roman" w:hAnsi="Arial" w:cs="Arial"/>
          <w:color w:val="333333"/>
          <w:sz w:val="24"/>
          <w:szCs w:val="24"/>
          <w:lang w:val="vi-VN"/>
        </w:rPr>
        <w:t> Hoạt động khác.</w:t>
      </w:r>
    </w:p>
    <w:p w14:paraId="0804155D"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rPr>
        <w:t>- </w:t>
      </w:r>
      <w:r w:rsidRPr="000574DE">
        <w:rPr>
          <w:rFonts w:ascii="Arial" w:eastAsia="Times New Roman" w:hAnsi="Arial" w:cs="Arial"/>
          <w:b/>
          <w:bCs/>
          <w:color w:val="333333"/>
          <w:sz w:val="24"/>
          <w:szCs w:val="24"/>
          <w:lang w:val="vi-VN"/>
        </w:rPr>
        <w:t>5%:</w:t>
      </w:r>
      <w:r w:rsidRPr="000574DE">
        <w:rPr>
          <w:rFonts w:ascii="Arial" w:eastAsia="Times New Roman" w:hAnsi="Arial" w:cs="Arial"/>
          <w:color w:val="333333"/>
          <w:sz w:val="24"/>
          <w:szCs w:val="24"/>
          <w:lang w:val="vi-VN"/>
        </w:rPr>
        <w:t> Một số ngành nghề đặc thù theo quy định riêng.</w:t>
      </w:r>
    </w:p>
    <w:p w14:paraId="1FB4380D" w14:textId="77777777" w:rsidR="000574DE" w:rsidRPr="000574DE" w:rsidRDefault="000574DE" w:rsidP="000574DE">
      <w:pPr>
        <w:shd w:val="clear" w:color="auto" w:fill="FFFFFF"/>
        <w:spacing w:beforeAutospacing="1" w:after="0" w:afterAutospacing="1" w:line="360" w:lineRule="atLeast"/>
        <w:jc w:val="both"/>
        <w:rPr>
          <w:rFonts w:ascii="Arial" w:eastAsia="Times New Roman" w:hAnsi="Arial" w:cs="Arial"/>
          <w:color w:val="333333"/>
          <w:sz w:val="24"/>
          <w:szCs w:val="24"/>
        </w:rPr>
      </w:pPr>
      <w:r w:rsidRPr="000574DE">
        <w:rPr>
          <w:rFonts w:ascii="Arial" w:eastAsia="Times New Roman" w:hAnsi="Arial" w:cs="Arial"/>
          <w:b/>
          <w:bCs/>
          <w:color w:val="000000"/>
          <w:sz w:val="24"/>
          <w:szCs w:val="24"/>
          <w:lang w:val="vi-VN"/>
        </w:rPr>
        <w:t>Hộ kinh doanh dưới 1 tỷ đồng cần lưu ý gì?</w:t>
      </w:r>
    </w:p>
    <w:p w14:paraId="5FD70517"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Dù không phát sinh thuế GTGT và TNCN, hộ kinh doanh vẫn phải:</w:t>
      </w:r>
    </w:p>
    <w:p w14:paraId="56EB304D"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Theo dõi doanh thu thực tế.</w:t>
      </w:r>
    </w:p>
    <w:p w14:paraId="17A8D7DC"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Thông báo doanh thu đúng mẫu quy định.</w:t>
      </w:r>
    </w:p>
    <w:p w14:paraId="436DDD40"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Lưu trữ sổ sách, chứng từ cơ bản.</w:t>
      </w:r>
    </w:p>
    <w:p w14:paraId="68CDC148"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 Chuyển sang kê khai và nộp thuế ngay khi vượt ngưỡng.</w:t>
      </w:r>
    </w:p>
    <w:p w14:paraId="387CC99D"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Việc hiểu rõ từng mức doanh thu và phương pháp tính thuế giúp hộ kinh doanh chủ động kế hoạch tài chính, tránh bị truy thu hoặc xử phạt khi quy mô kinh doanh thay đổi.</w:t>
      </w:r>
    </w:p>
    <w:tbl>
      <w:tblPr>
        <w:tblW w:w="11849" w:type="dxa"/>
        <w:tblBorders>
          <w:top w:val="outset" w:sz="6" w:space="0" w:color="ECF0F1"/>
          <w:left w:val="outset" w:sz="6" w:space="0" w:color="ECF0F1"/>
          <w:bottom w:val="outset" w:sz="6" w:space="0" w:color="ECF0F1"/>
          <w:right w:val="outset" w:sz="6" w:space="0" w:color="ECF0F1"/>
        </w:tblBorders>
        <w:shd w:val="clear" w:color="auto" w:fill="ECF0F1"/>
        <w:tblCellMar>
          <w:left w:w="0" w:type="dxa"/>
          <w:right w:w="0" w:type="dxa"/>
        </w:tblCellMar>
        <w:tblLook w:val="04A0" w:firstRow="1" w:lastRow="0" w:firstColumn="1" w:lastColumn="0" w:noHBand="0" w:noVBand="1"/>
      </w:tblPr>
      <w:tblGrid>
        <w:gridCol w:w="11849"/>
      </w:tblGrid>
      <w:tr w:rsidR="000574DE" w:rsidRPr="000574DE" w14:paraId="4D26E984" w14:textId="77777777" w:rsidTr="000574DE">
        <w:tc>
          <w:tcPr>
            <w:tcW w:w="0" w:type="auto"/>
            <w:tcBorders>
              <w:top w:val="single" w:sz="6" w:space="0" w:color="ECF0F1"/>
              <w:left w:val="single" w:sz="6" w:space="0" w:color="ECF0F1"/>
              <w:bottom w:val="single" w:sz="6" w:space="0" w:color="ECF0F1"/>
              <w:right w:val="single" w:sz="6" w:space="0" w:color="ECF0F1"/>
            </w:tcBorders>
            <w:shd w:val="clear" w:color="auto" w:fill="ECF0F1"/>
            <w:tcMar>
              <w:top w:w="150" w:type="dxa"/>
              <w:left w:w="600" w:type="dxa"/>
              <w:bottom w:w="150" w:type="dxa"/>
              <w:right w:w="150" w:type="dxa"/>
            </w:tcMar>
            <w:vAlign w:val="center"/>
            <w:hideMark/>
          </w:tcPr>
          <w:p w14:paraId="264F5970" w14:textId="77777777" w:rsidR="000574DE" w:rsidRPr="000574DE" w:rsidRDefault="000574DE" w:rsidP="000574DE">
            <w:pPr>
              <w:spacing w:after="0" w:line="420" w:lineRule="atLeast"/>
              <w:rPr>
                <w:rFonts w:ascii="Arial" w:eastAsia="Times New Roman" w:hAnsi="Arial" w:cs="Arial"/>
                <w:sz w:val="24"/>
                <w:szCs w:val="24"/>
              </w:rPr>
            </w:pPr>
            <w:r w:rsidRPr="000574DE">
              <w:rPr>
                <w:rFonts w:ascii="Arial" w:eastAsia="Times New Roman" w:hAnsi="Arial" w:cs="Arial"/>
                <w:b/>
                <w:bCs/>
                <w:sz w:val="24"/>
                <w:szCs w:val="24"/>
              </w:rPr>
              <w:lastRenderedPageBreak/>
              <w:t>Có thể bạn quan tâm: </w:t>
            </w:r>
            <w:hyperlink r:id="rId22" w:tgtFrame="_blank" w:history="1">
              <w:r w:rsidRPr="000574DE">
                <w:rPr>
                  <w:rFonts w:ascii="Arial" w:eastAsia="Times New Roman" w:hAnsi="Arial" w:cs="Arial"/>
                  <w:b/>
                  <w:bCs/>
                  <w:color w:val="007BFF"/>
                  <w:sz w:val="24"/>
                  <w:szCs w:val="24"/>
                  <w:u w:val="single"/>
                </w:rPr>
                <w:t>Hóa đơn điện tử</w:t>
              </w:r>
            </w:hyperlink>
            <w:r w:rsidRPr="000574DE">
              <w:rPr>
                <w:rFonts w:ascii="Arial" w:eastAsia="Times New Roman" w:hAnsi="Arial" w:cs="Arial"/>
                <w:b/>
                <w:bCs/>
                <w:sz w:val="24"/>
                <w:szCs w:val="24"/>
              </w:rPr>
              <w:t>; </w:t>
            </w:r>
            <w:hyperlink r:id="rId23" w:tgtFrame="_blank" w:history="1">
              <w:r w:rsidRPr="000574DE">
                <w:rPr>
                  <w:rFonts w:ascii="Arial" w:eastAsia="Times New Roman" w:hAnsi="Arial" w:cs="Arial"/>
                  <w:b/>
                  <w:bCs/>
                  <w:color w:val="007BFF"/>
                  <w:sz w:val="24"/>
                  <w:szCs w:val="24"/>
                  <w:u w:val="single"/>
                </w:rPr>
                <w:t>Báo giá hóa đơn điện tử</w:t>
              </w:r>
            </w:hyperlink>
            <w:r w:rsidRPr="000574DE">
              <w:rPr>
                <w:rFonts w:ascii="Arial" w:eastAsia="Times New Roman" w:hAnsi="Arial" w:cs="Arial"/>
                <w:b/>
                <w:bCs/>
                <w:sz w:val="24"/>
                <w:szCs w:val="24"/>
              </w:rPr>
              <w:t>.</w:t>
            </w:r>
          </w:p>
        </w:tc>
      </w:tr>
    </w:tbl>
    <w:p w14:paraId="68D93FE6" w14:textId="77777777" w:rsidR="000574DE" w:rsidRPr="000574DE" w:rsidRDefault="000574DE" w:rsidP="000574DE">
      <w:pPr>
        <w:shd w:val="clear" w:color="auto" w:fill="FFFFFF"/>
        <w:spacing w:beforeAutospacing="1" w:after="0" w:afterAutospacing="1" w:line="240" w:lineRule="auto"/>
        <w:outlineLvl w:val="1"/>
        <w:rPr>
          <w:rFonts w:ascii="inherit" w:eastAsia="Times New Roman" w:hAnsi="inherit" w:cs="Arial"/>
          <w:color w:val="333333"/>
          <w:sz w:val="36"/>
          <w:szCs w:val="36"/>
        </w:rPr>
      </w:pPr>
      <w:r w:rsidRPr="000574DE">
        <w:rPr>
          <w:rFonts w:ascii="Arial" w:eastAsia="Times New Roman" w:hAnsi="Arial" w:cs="Arial"/>
          <w:b/>
          <w:bCs/>
          <w:color w:val="333333"/>
          <w:sz w:val="30"/>
          <w:szCs w:val="30"/>
          <w:lang w:val="vi-VN"/>
        </w:rPr>
        <w:t>3. Hộ kinh doanh dưới 1 tỷ đồng năm 2026 có bắt buộc dùng hóa đơn điện tử không?</w:t>
      </w:r>
    </w:p>
    <w:p w14:paraId="71753750" w14:textId="0E146B65" w:rsidR="000574DE" w:rsidRPr="000574DE" w:rsidRDefault="000574DE" w:rsidP="000574DE">
      <w:pPr>
        <w:shd w:val="clear" w:color="auto" w:fill="FFFFFF"/>
        <w:spacing w:after="0" w:line="480" w:lineRule="auto"/>
        <w:rPr>
          <w:rFonts w:ascii="Arial" w:eastAsia="Times New Roman" w:hAnsi="Arial" w:cs="Arial"/>
          <w:color w:val="333333"/>
          <w:sz w:val="24"/>
          <w:szCs w:val="24"/>
        </w:rPr>
      </w:pPr>
      <w:r w:rsidRPr="000574DE">
        <w:rPr>
          <w:rFonts w:ascii="Arial" w:eastAsia="Times New Roman" w:hAnsi="Arial" w:cs="Arial"/>
          <w:noProof/>
          <w:color w:val="333333"/>
          <w:sz w:val="24"/>
          <w:szCs w:val="24"/>
        </w:rPr>
        <w:drawing>
          <wp:inline distT="0" distB="0" distL="0" distR="0" wp14:anchorId="14478680" wp14:editId="25141272">
            <wp:extent cx="5943600" cy="3959860"/>
            <wp:effectExtent l="0" t="0" r="0" b="2540"/>
            <wp:docPr id="1" name="Picture 1" descr="Áp dụng hóa đơn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Áp dụng hóa đơn điện tử"/>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0574DE">
        <w:rPr>
          <w:rFonts w:ascii="Arial" w:eastAsia="Times New Roman" w:hAnsi="Arial" w:cs="Arial"/>
          <w:i/>
          <w:iCs/>
          <w:color w:val="000000"/>
          <w:sz w:val="24"/>
          <w:szCs w:val="24"/>
        </w:rPr>
        <w:t>Chính sách hóa đơn điện tử đối với hộ kinh doanh 2026.</w:t>
      </w:r>
    </w:p>
    <w:p w14:paraId="38D7F352"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Căn cứ </w:t>
      </w:r>
      <w:r w:rsidRPr="000574DE">
        <w:rPr>
          <w:rFonts w:ascii="Arial" w:eastAsia="Times New Roman" w:hAnsi="Arial" w:cs="Arial"/>
          <w:b/>
          <w:bCs/>
          <w:color w:val="333333"/>
          <w:sz w:val="24"/>
          <w:szCs w:val="24"/>
          <w:lang w:val="vi-VN"/>
        </w:rPr>
        <w:t>Khoản 2, Điều 1, Nghị định 141/2026/NĐ-CP</w:t>
      </w:r>
      <w:r w:rsidRPr="000574DE">
        <w:rPr>
          <w:rFonts w:ascii="Arial" w:eastAsia="Times New Roman" w:hAnsi="Arial" w:cs="Arial"/>
          <w:color w:val="333333"/>
          <w:sz w:val="24"/>
          <w:szCs w:val="24"/>
          <w:lang w:val="vi-VN"/>
        </w:rPr>
        <w:t> sửa đổi </w:t>
      </w:r>
      <w:r w:rsidRPr="000574DE">
        <w:rPr>
          <w:rFonts w:ascii="Arial" w:eastAsia="Times New Roman" w:hAnsi="Arial" w:cs="Arial"/>
          <w:b/>
          <w:bCs/>
          <w:color w:val="333333"/>
          <w:sz w:val="24"/>
          <w:szCs w:val="24"/>
          <w:lang w:val="vi-VN"/>
        </w:rPr>
        <w:t>Khoản 5, Điều 8, Nghị định 68/2026/NĐ-CP</w:t>
      </w:r>
      <w:r w:rsidRPr="000574DE">
        <w:rPr>
          <w:rFonts w:ascii="Arial" w:eastAsia="Times New Roman" w:hAnsi="Arial" w:cs="Arial"/>
          <w:color w:val="333333"/>
          <w:sz w:val="24"/>
          <w:szCs w:val="24"/>
          <w:lang w:val="vi-VN"/>
        </w:rPr>
        <w:t>, từ năm 2026, chính sách hóa đơn điện tử đối với hộ kinh doanh được phân loại rõ theo ngưỡng doanh thu, trong đó nhóm doanh thu từ 1 tỷ đồng/năm trở xuống không bắt buộc áp dụng hóa đơn điện tử như nhóm doanh thu cao hơn.</w:t>
      </w:r>
    </w:p>
    <w:p w14:paraId="4F9E62FC"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t>3.1. Quy định sử dụng hóa đơn điện tử theo mức doanh thu hộ kinh doanh</w:t>
      </w:r>
    </w:p>
    <w:tbl>
      <w:tblPr>
        <w:tblW w:w="11849" w:type="dxa"/>
        <w:tblCellMar>
          <w:left w:w="0" w:type="dxa"/>
          <w:right w:w="0" w:type="dxa"/>
        </w:tblCellMar>
        <w:tblLook w:val="04A0" w:firstRow="1" w:lastRow="0" w:firstColumn="1" w:lastColumn="0" w:noHBand="0" w:noVBand="1"/>
      </w:tblPr>
      <w:tblGrid>
        <w:gridCol w:w="3537"/>
        <w:gridCol w:w="8312"/>
      </w:tblGrid>
      <w:tr w:rsidR="000574DE" w:rsidRPr="000574DE" w14:paraId="45DE2410" w14:textId="77777777" w:rsidTr="000574DE">
        <w:trPr>
          <w:trHeight w:val="770"/>
        </w:trPr>
        <w:tc>
          <w:tcPr>
            <w:tcW w:w="3533" w:type="dxa"/>
            <w:tcBorders>
              <w:top w:val="single" w:sz="8" w:space="0" w:color="000000"/>
              <w:left w:val="single" w:sz="8" w:space="0" w:color="000000"/>
              <w:bottom w:val="single" w:sz="8" w:space="0" w:color="000000"/>
              <w:right w:val="single" w:sz="8" w:space="0" w:color="000000"/>
            </w:tcBorders>
            <w:shd w:val="clear" w:color="auto" w:fill="C2E0F4"/>
            <w:tcMar>
              <w:top w:w="100" w:type="dxa"/>
              <w:left w:w="100" w:type="dxa"/>
              <w:bottom w:w="100" w:type="dxa"/>
              <w:right w:w="100" w:type="dxa"/>
            </w:tcMar>
            <w:vAlign w:val="center"/>
            <w:hideMark/>
          </w:tcPr>
          <w:p w14:paraId="0A48415B"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Doanh thu năm</w:t>
            </w:r>
          </w:p>
        </w:tc>
        <w:tc>
          <w:tcPr>
            <w:tcW w:w="8302" w:type="dxa"/>
            <w:tcBorders>
              <w:top w:val="single" w:sz="6" w:space="0" w:color="000000"/>
              <w:left w:val="nil"/>
              <w:bottom w:val="single" w:sz="6" w:space="0" w:color="000000"/>
              <w:right w:val="single" w:sz="6" w:space="0" w:color="000000"/>
            </w:tcBorders>
            <w:shd w:val="clear" w:color="auto" w:fill="C2E0F4"/>
            <w:tcMar>
              <w:top w:w="100" w:type="dxa"/>
              <w:left w:w="100" w:type="dxa"/>
              <w:bottom w:w="100" w:type="dxa"/>
              <w:right w:w="100" w:type="dxa"/>
            </w:tcMar>
            <w:vAlign w:val="center"/>
            <w:hideMark/>
          </w:tcPr>
          <w:p w14:paraId="10FFF171"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b/>
                <w:bCs/>
                <w:sz w:val="24"/>
                <w:szCs w:val="24"/>
                <w:lang w:val="vi-VN"/>
              </w:rPr>
              <w:t>Nghĩa vụ hóa đơn điện tử</w:t>
            </w:r>
          </w:p>
        </w:tc>
      </w:tr>
      <w:tr w:rsidR="000574DE" w:rsidRPr="000574DE" w14:paraId="504EB237" w14:textId="77777777" w:rsidTr="000574DE">
        <w:trPr>
          <w:trHeight w:val="770"/>
        </w:trPr>
        <w:tc>
          <w:tcPr>
            <w:tcW w:w="353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61A5380"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sz w:val="24"/>
                <w:szCs w:val="24"/>
                <w:lang w:val="vi-VN"/>
              </w:rPr>
              <w:lastRenderedPageBreak/>
              <w:t>Từ 1 tỷ đồng trở xuống</w:t>
            </w:r>
          </w:p>
        </w:tc>
        <w:tc>
          <w:tcPr>
            <w:tcW w:w="8302"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6B023F99"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sz w:val="24"/>
                <w:szCs w:val="24"/>
                <w:lang w:val="vi-VN"/>
              </w:rPr>
              <w:t>Không bắt buộc sử dụng hóa đơn điện tử.</w:t>
            </w:r>
          </w:p>
        </w:tc>
      </w:tr>
      <w:tr w:rsidR="000574DE" w:rsidRPr="000574DE" w14:paraId="2925EED7" w14:textId="77777777" w:rsidTr="000574DE">
        <w:trPr>
          <w:trHeight w:val="770"/>
        </w:trPr>
        <w:tc>
          <w:tcPr>
            <w:tcW w:w="3533" w:type="dxa"/>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617B587" w14:textId="77777777" w:rsidR="000574DE" w:rsidRPr="000574DE" w:rsidRDefault="000574DE" w:rsidP="000574DE">
            <w:pPr>
              <w:spacing w:after="0" w:line="360" w:lineRule="atLeast"/>
              <w:jc w:val="center"/>
              <w:rPr>
                <w:rFonts w:ascii="Arial" w:eastAsia="Times New Roman" w:hAnsi="Arial" w:cs="Arial"/>
                <w:sz w:val="24"/>
                <w:szCs w:val="24"/>
              </w:rPr>
            </w:pPr>
            <w:r w:rsidRPr="000574DE">
              <w:rPr>
                <w:rFonts w:ascii="Arial" w:eastAsia="Times New Roman" w:hAnsi="Arial" w:cs="Arial"/>
                <w:sz w:val="24"/>
                <w:szCs w:val="24"/>
                <w:lang w:val="vi-VN"/>
              </w:rPr>
              <w:t>Trên 1 tỷ đồng</w:t>
            </w:r>
          </w:p>
        </w:tc>
        <w:tc>
          <w:tcPr>
            <w:tcW w:w="8302" w:type="dxa"/>
            <w:tcBorders>
              <w:top w:val="nil"/>
              <w:left w:val="nil"/>
              <w:bottom w:val="single" w:sz="6" w:space="0" w:color="000000"/>
              <w:right w:val="single" w:sz="6" w:space="0" w:color="000000"/>
            </w:tcBorders>
            <w:tcMar>
              <w:top w:w="100" w:type="dxa"/>
              <w:left w:w="100" w:type="dxa"/>
              <w:bottom w:w="100" w:type="dxa"/>
              <w:right w:w="100" w:type="dxa"/>
            </w:tcMar>
            <w:vAlign w:val="center"/>
            <w:hideMark/>
          </w:tcPr>
          <w:p w14:paraId="069BFC2D" w14:textId="77777777" w:rsidR="000574DE" w:rsidRPr="000574DE" w:rsidRDefault="000574DE" w:rsidP="000574DE">
            <w:pPr>
              <w:spacing w:after="0" w:line="360" w:lineRule="atLeast"/>
              <w:jc w:val="both"/>
              <w:rPr>
                <w:rFonts w:ascii="Arial" w:eastAsia="Times New Roman" w:hAnsi="Arial" w:cs="Arial"/>
                <w:sz w:val="24"/>
                <w:szCs w:val="24"/>
              </w:rPr>
            </w:pPr>
            <w:r w:rsidRPr="000574DE">
              <w:rPr>
                <w:rFonts w:ascii="Arial" w:eastAsia="Times New Roman" w:hAnsi="Arial" w:cs="Arial"/>
                <w:sz w:val="24"/>
                <w:szCs w:val="24"/>
                <w:lang w:val="vi-VN"/>
              </w:rPr>
              <w:t>Bắt buộc sử dụng </w:t>
            </w:r>
            <w:hyperlink r:id="rId25" w:tgtFrame="_blank" w:history="1">
              <w:r w:rsidRPr="000574DE">
                <w:rPr>
                  <w:rFonts w:ascii="Arial" w:eastAsia="Times New Roman" w:hAnsi="Arial" w:cs="Arial"/>
                  <w:b/>
                  <w:bCs/>
                  <w:color w:val="007BFF"/>
                  <w:sz w:val="24"/>
                  <w:szCs w:val="24"/>
                  <w:lang w:val="vi-VN"/>
                </w:rPr>
                <w:t>hóa đơn điện tử có mã của cơ quan thuế</w:t>
              </w:r>
            </w:hyperlink>
            <w:r w:rsidRPr="000574DE">
              <w:rPr>
                <w:rFonts w:ascii="Arial" w:eastAsia="Times New Roman" w:hAnsi="Arial" w:cs="Arial"/>
                <w:sz w:val="24"/>
                <w:szCs w:val="24"/>
                <w:lang w:val="vi-VN"/>
              </w:rPr>
              <w:t> hoặc hóa đơn điện tử khởi tạo từ máy tính tiền kết nối dữ liệu với cơ quan thuế.</w:t>
            </w:r>
          </w:p>
        </w:tc>
      </w:tr>
    </w:tbl>
    <w:p w14:paraId="2F487331"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t>3.2. Hộ kinh doanh dưới 1 tỷ đồng có được đăng ký hóa đơn điện tử không?</w:t>
      </w:r>
    </w:p>
    <w:p w14:paraId="0977E46A"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Dù không bắt buộc, hộ kinh doanh doanh thu từ 1 tỷ đồng/năm trở xuống vẫn có thể chủ động đăng ký sử dụng hóa đơn điện tử có mã của cơ quan thuế hoặc hóa đơn điện tử từ máy tính tiền nếu đáp ứng điều kiện kỹ thuật và có nhu cầu xuất hóa đơn cho khách hàng.</w:t>
      </w:r>
    </w:p>
    <w:p w14:paraId="5782602B"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t>3.3. Điểm mới về hóa đơn hộ kinh doanh năm 2026</w:t>
      </w:r>
    </w:p>
    <w:p w14:paraId="3FB02B29"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b/>
          <w:bCs/>
          <w:color w:val="333333"/>
          <w:sz w:val="24"/>
          <w:szCs w:val="24"/>
          <w:lang w:val="vi-VN"/>
        </w:rPr>
        <w:t>Nghị định 141/2026/NĐ-CP</w:t>
      </w:r>
      <w:r w:rsidRPr="000574DE">
        <w:rPr>
          <w:rFonts w:ascii="Arial" w:eastAsia="Times New Roman" w:hAnsi="Arial" w:cs="Arial"/>
          <w:color w:val="333333"/>
          <w:sz w:val="24"/>
          <w:szCs w:val="24"/>
          <w:lang w:val="vi-VN"/>
        </w:rPr>
        <w:t> đã bãi bỏ cơ chế cơ quan thuế cấp hóa đơn điện tử theo từng lần phát sinh. Điều này đồng nghĩa hộ kinh doanh nếu cần xuất hóa đơn phải tự đăng ký hệ thống hóa đơn điện tử phù hợp, thay vì xin cấp lẻ như trước.</w:t>
      </w:r>
    </w:p>
    <w:p w14:paraId="6474A00E" w14:textId="77777777" w:rsidR="000574DE" w:rsidRPr="000574DE" w:rsidRDefault="000574DE" w:rsidP="000574DE">
      <w:pPr>
        <w:shd w:val="clear" w:color="auto" w:fill="FFFFFF"/>
        <w:spacing w:beforeAutospacing="1" w:after="0" w:afterAutospacing="1" w:line="240" w:lineRule="auto"/>
        <w:outlineLvl w:val="2"/>
        <w:rPr>
          <w:rFonts w:ascii="inherit" w:eastAsia="Times New Roman" w:hAnsi="inherit" w:cs="Arial"/>
          <w:color w:val="333333"/>
          <w:sz w:val="27"/>
          <w:szCs w:val="27"/>
        </w:rPr>
      </w:pPr>
      <w:r w:rsidRPr="000574DE">
        <w:rPr>
          <w:rFonts w:ascii="Arial" w:eastAsia="Times New Roman" w:hAnsi="Arial" w:cs="Arial"/>
          <w:b/>
          <w:bCs/>
          <w:color w:val="BA372A"/>
          <w:sz w:val="27"/>
          <w:szCs w:val="27"/>
          <w:lang w:val="vi-VN"/>
        </w:rPr>
        <w:t>3.4. Hộ kinh doanh dưới 1 tỷ cần lưu ý gì?</w:t>
      </w:r>
    </w:p>
    <w:p w14:paraId="692D22F5"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Việc sử dụng hóa đơn điện tử tuy không bắt buộc nhưng vẫn nên được cân nhắc nếu </w:t>
      </w:r>
      <w:hyperlink r:id="rId26" w:tgtFrame="_blank" w:history="1">
        <w:r w:rsidRPr="000574DE">
          <w:rPr>
            <w:rFonts w:ascii="Arial" w:eastAsia="Times New Roman" w:hAnsi="Arial" w:cs="Arial"/>
            <w:b/>
            <w:bCs/>
            <w:color w:val="007BFF"/>
            <w:sz w:val="24"/>
            <w:szCs w:val="24"/>
            <w:lang w:val="vi-VN"/>
          </w:rPr>
          <w:t>hộ kinh doanh</w:t>
        </w:r>
      </w:hyperlink>
      <w:r w:rsidRPr="000574DE">
        <w:rPr>
          <w:rFonts w:ascii="Arial" w:eastAsia="Times New Roman" w:hAnsi="Arial" w:cs="Arial"/>
          <w:color w:val="333333"/>
          <w:sz w:val="24"/>
          <w:szCs w:val="24"/>
          <w:lang w:val="vi-VN"/>
        </w:rPr>
        <w:t> muốn minh bạch doanh thu, phục vụ khách hàng doanh nghiệp hoặc chuẩn bị cho khả năng mở rộng quy mô kinh doanh trong tương lai.</w:t>
      </w:r>
    </w:p>
    <w:p w14:paraId="03A30419"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Nắm rõ quy định mới về hóa đơn sẽ giúp hộ kinh doanh chủ động hơn trong quản lý bán hàng, hạn chế rủi ro thuế và thuận lợi khi chuyển đổi sang mô hình kinh doanh lớn hơn.</w:t>
      </w:r>
    </w:p>
    <w:p w14:paraId="1FE0E68F" w14:textId="77777777" w:rsidR="000574DE" w:rsidRPr="000574DE" w:rsidRDefault="000574DE" w:rsidP="000574DE">
      <w:pPr>
        <w:shd w:val="clear" w:color="auto" w:fill="FFFFFF"/>
        <w:spacing w:after="0" w:line="360" w:lineRule="atLeast"/>
        <w:jc w:val="both"/>
        <w:rPr>
          <w:rFonts w:ascii="Arial" w:eastAsia="Times New Roman" w:hAnsi="Arial" w:cs="Arial"/>
          <w:color w:val="333333"/>
          <w:sz w:val="24"/>
          <w:szCs w:val="24"/>
        </w:rPr>
      </w:pPr>
      <w:r w:rsidRPr="000574DE">
        <w:rPr>
          <w:rFonts w:ascii="Arial" w:eastAsia="Times New Roman" w:hAnsi="Arial" w:cs="Arial"/>
          <w:color w:val="333333"/>
          <w:sz w:val="24"/>
          <w:szCs w:val="24"/>
          <w:lang w:val="vi-VN"/>
        </w:rPr>
        <w:t>Từ năm 2026, hộ kinh doanh doanh thu đến 1 tỷ đồng/năm được miễn thuế nhưng vẫn phải thực hiện đúng quy định về thông báo doanh thu và quản lý hóa đơn khi cần. Nắm rõ chính sách mới sẽ giúp hộ kinh doanh giảm áp lực thuế, tránh sai sót thủ tục và chủ động hơn trong hoạt động kinh doanh.</w:t>
      </w:r>
    </w:p>
    <w:p w14:paraId="0B537E6C" w14:textId="77777777" w:rsidR="00A17E33" w:rsidRDefault="00A17E33"/>
    <w:sectPr w:rsidR="00A17E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AE"/>
    <w:rsid w:val="000574DE"/>
    <w:rsid w:val="002549AE"/>
    <w:rsid w:val="00A1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4C7501-94AE-431A-8B4B-7D9C230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74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74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74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74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74DE"/>
    <w:rPr>
      <w:rFonts w:ascii="Times New Roman" w:eastAsia="Times New Roman" w:hAnsi="Times New Roman" w:cs="Times New Roman"/>
      <w:b/>
      <w:bCs/>
      <w:sz w:val="27"/>
      <w:szCs w:val="27"/>
    </w:rPr>
  </w:style>
  <w:style w:type="character" w:customStyle="1" w:styleId="date">
    <w:name w:val="date"/>
    <w:basedOn w:val="DefaultParagraphFont"/>
    <w:rsid w:val="000574DE"/>
  </w:style>
  <w:style w:type="character" w:customStyle="1" w:styleId="ignorable">
    <w:name w:val="ignorable"/>
    <w:basedOn w:val="DefaultParagraphFont"/>
    <w:rsid w:val="000574DE"/>
  </w:style>
  <w:style w:type="character" w:customStyle="1" w:styleId="view">
    <w:name w:val="view"/>
    <w:basedOn w:val="DefaultParagraphFont"/>
    <w:rsid w:val="000574DE"/>
  </w:style>
  <w:style w:type="character" w:styleId="Hyperlink">
    <w:name w:val="Hyperlink"/>
    <w:basedOn w:val="DefaultParagraphFont"/>
    <w:uiPriority w:val="99"/>
    <w:semiHidden/>
    <w:unhideWhenUsed/>
    <w:rsid w:val="000574DE"/>
    <w:rPr>
      <w:color w:val="0000FF"/>
      <w:u w:val="single"/>
    </w:rPr>
  </w:style>
  <w:style w:type="character" w:styleId="Strong">
    <w:name w:val="Strong"/>
    <w:basedOn w:val="DefaultParagraphFont"/>
    <w:uiPriority w:val="22"/>
    <w:qFormat/>
    <w:rsid w:val="000574DE"/>
    <w:rPr>
      <w:b/>
      <w:bCs/>
    </w:rPr>
  </w:style>
  <w:style w:type="character" w:styleId="Emphasis">
    <w:name w:val="Emphasis"/>
    <w:basedOn w:val="DefaultParagraphFont"/>
    <w:uiPriority w:val="20"/>
    <w:qFormat/>
    <w:rsid w:val="000574DE"/>
    <w:rPr>
      <w:i/>
      <w:iCs/>
    </w:rPr>
  </w:style>
  <w:style w:type="paragraph" w:styleId="NormalWeb">
    <w:name w:val="Normal (Web)"/>
    <w:basedOn w:val="Normal"/>
    <w:uiPriority w:val="99"/>
    <w:semiHidden/>
    <w:unhideWhenUsed/>
    <w:rsid w:val="000574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892537">
      <w:bodyDiv w:val="1"/>
      <w:marLeft w:val="0"/>
      <w:marRight w:val="0"/>
      <w:marTop w:val="0"/>
      <w:marBottom w:val="0"/>
      <w:divBdr>
        <w:top w:val="none" w:sz="0" w:space="0" w:color="auto"/>
        <w:left w:val="none" w:sz="0" w:space="0" w:color="auto"/>
        <w:bottom w:val="none" w:sz="0" w:space="0" w:color="auto"/>
        <w:right w:val="none" w:sz="0" w:space="0" w:color="auto"/>
      </w:divBdr>
      <w:divsChild>
        <w:div w:id="1439446296">
          <w:marLeft w:val="0"/>
          <w:marRight w:val="0"/>
          <w:marTop w:val="0"/>
          <w:marBottom w:val="0"/>
          <w:divBdr>
            <w:top w:val="single" w:sz="6" w:space="0" w:color="EAEAEA"/>
            <w:left w:val="none" w:sz="0" w:space="0" w:color="auto"/>
            <w:bottom w:val="none" w:sz="0" w:space="0" w:color="auto"/>
            <w:right w:val="none" w:sz="0" w:space="0" w:color="auto"/>
          </w:divBdr>
        </w:div>
        <w:div w:id="760183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nvoice.vn/tin-tuc/hkd-doanh-thu-1ty-nam" TargetMode="External"/><Relationship Id="rId13" Type="http://schemas.openxmlformats.org/officeDocument/2006/relationships/hyperlink" Target="https://einvoice.vn/tin-tuc/hkd-doanh-thu-1ty-nam" TargetMode="External"/><Relationship Id="rId18" Type="http://schemas.openxmlformats.org/officeDocument/2006/relationships/hyperlink" Target="https://einvoice.vn/tin-tuc/ke-khai-thue-hkd-htkk" TargetMode="External"/><Relationship Id="rId26" Type="http://schemas.openxmlformats.org/officeDocument/2006/relationships/hyperlink" Target="https://einvoice.vn/tin-tuc/phan-biet-ho-kinh-doanh-va-doanh-nghiep" TargetMode="External"/><Relationship Id="rId3" Type="http://schemas.openxmlformats.org/officeDocument/2006/relationships/webSettings" Target="webSettings.xml"/><Relationship Id="rId21" Type="http://schemas.openxmlformats.org/officeDocument/2006/relationships/hyperlink" Target="https://einvoice.vn/van-ban-hddt/nghi-dinh-68-2026-nd-cp-chinh-sach-quan-ly-thue" TargetMode="External"/><Relationship Id="rId7" Type="http://schemas.openxmlformats.org/officeDocument/2006/relationships/hyperlink" Target="https://einvoice.vn/tin-tuc/hkd-doanh-thu-1ty-nam" TargetMode="External"/><Relationship Id="rId12" Type="http://schemas.openxmlformats.org/officeDocument/2006/relationships/hyperlink" Target="https://einvoice.vn/tin-tuc/hkd-doanh-thu-1ty-nam" TargetMode="External"/><Relationship Id="rId17" Type="http://schemas.openxmlformats.org/officeDocument/2006/relationships/hyperlink" Target="https://einvoice.vn/tin-tuc/thue-thu-nhap-ca-nhan-la-gi-vai-tro-cua-thue-thu-nhap-ca-nhan" TargetMode="External"/><Relationship Id="rId25" Type="http://schemas.openxmlformats.org/officeDocument/2006/relationships/hyperlink" Target="https://einvoice.vn/tin-tuc/diem-khac-giua-hoa-don-dien-tu-co-ma-va-khong-co-ma" TargetMode="External"/><Relationship Id="rId2" Type="http://schemas.openxmlformats.org/officeDocument/2006/relationships/settings" Target="settings.xml"/><Relationship Id="rId16" Type="http://schemas.openxmlformats.org/officeDocument/2006/relationships/hyperlink" Target="https://einvoice.vn/tin-tuc/huong-dan-cach-tinh-thue-gtgt-moi-nhat" TargetMode="External"/><Relationship Id="rId20"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einvoice.vn/tin-tuc/hkd-doanh-thu-1ty-nam" TargetMode="External"/><Relationship Id="rId11" Type="http://schemas.openxmlformats.org/officeDocument/2006/relationships/hyperlink" Target="https://einvoice.vn/tin-tuc/hkd-doanh-thu-1ty-nam" TargetMode="External"/><Relationship Id="rId24"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einvoice.vn/tin-tuc/hkd-doanh-thu-1ty-nam" TargetMode="External"/><Relationship Id="rId23" Type="http://schemas.openxmlformats.org/officeDocument/2006/relationships/hyperlink" Target="https://einvoice.vn/bao-gia/bao-gia-phien-ban-web" TargetMode="External"/><Relationship Id="rId28" Type="http://schemas.openxmlformats.org/officeDocument/2006/relationships/theme" Target="theme/theme1.xml"/><Relationship Id="rId10" Type="http://schemas.openxmlformats.org/officeDocument/2006/relationships/hyperlink" Target="https://einvoice.vn/tin-tuc/hkd-doanh-thu-1ty-nam" TargetMode="External"/><Relationship Id="rId19" Type="http://schemas.openxmlformats.org/officeDocument/2006/relationships/hyperlink" Target="https://einvoice.vn/tin-tuc/hoan-thue-tncn-tu-dong" TargetMode="External"/><Relationship Id="rId4" Type="http://schemas.openxmlformats.org/officeDocument/2006/relationships/hyperlink" Target="https://einvoice.vn/van-ban-hddt/nghi-dinh141-2026-nd-cp" TargetMode="External"/><Relationship Id="rId9" Type="http://schemas.openxmlformats.org/officeDocument/2006/relationships/hyperlink" Target="https://einvoice.vn/tin-tuc/hkd-doanh-thu-1ty-nam" TargetMode="External"/><Relationship Id="rId14" Type="http://schemas.openxmlformats.org/officeDocument/2006/relationships/hyperlink" Target="https://einvoice.vn/tin-tuc/hkd-doanh-thu-1ty-nam" TargetMode="External"/><Relationship Id="rId22" Type="http://schemas.openxmlformats.org/officeDocument/2006/relationships/hyperlink" Target="https://einvoice.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1624</Words>
  <Characters>9262</Characters>
  <Application>Microsoft Office Word</Application>
  <DocSecurity>0</DocSecurity>
  <Lines>77</Lines>
  <Paragraphs>21</Paragraphs>
  <ScaleCrop>false</ScaleCrop>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Nguyễn Mạnh (4)</dc:creator>
  <cp:keywords/>
  <dc:description/>
  <cp:lastModifiedBy>Tuấn. Nguyễn Mạnh (4)</cp:lastModifiedBy>
  <cp:revision>2</cp:revision>
  <dcterms:created xsi:type="dcterms:W3CDTF">2026-06-11T02:49:00Z</dcterms:created>
  <dcterms:modified xsi:type="dcterms:W3CDTF">2026-06-11T02:49:00Z</dcterms:modified>
</cp:coreProperties>
</file>