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POSITIVE OUTLOOK FOR VIETNAM'S BANKING SECTOR IN 2025</w:t>
      </w:r>
    </w:p>
    <w:p w:rsidR="00000000" w:rsidDel="00000000" w:rsidP="00000000" w:rsidRDefault="00000000" w:rsidRPr="00000000" w14:paraId="00000002">
      <w:pPr>
        <w:spacing w:after="240" w:before="240" w:lineRule="auto"/>
        <w:rPr/>
      </w:pPr>
      <w:r w:rsidDel="00000000" w:rsidR="00000000" w:rsidRPr="00000000">
        <w:rPr>
          <w:rtl w:val="0"/>
        </w:rPr>
        <w:t xml:space="preserve">Bank stocks account for 40% of the VN-Index (VNI) and vastly outperformed the VNI in 2024. The 18 banks' listed on the Ho Chi Minh Stock Exchange surged 23% in VND terms vs 12% for the VN-Index (17% in USD terms vs. 9%, respectively). We believe the sector will deliver a strong performance again this year because we expect sector-wide bank earnings growth to accelerate from 14% in 2024 to 17% in 2025. The main drivers of Vietnam's GDP growth shift from exports and tourism in 2024 to consumption, infrastructure spending, and real estate in 2025. Earnings growth acceleration, coupled with attractive valuations (1.3x P/B versus 16% ROE), should drive further stock price appreciation.</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The performance of individual bank stocks in Vietnam varies considerably, creating ample opportunities for active managers to outperform the broader stock market. The wide range of stock price performance reflects the widely varying business strategies, risk profiles, and valuations of banks in Vietnam. We discuss the current thinking of VinaCapital's Portfolio Managers and Research Team on bank stock selection below, as well as how our outlook for Vietnam's economy, which was discussed in our Looking Ahead at 2025 report, informs our current stock picking strategy.</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In short, we expect Vietnam's export growth to the US to slow this year, which should be offset by increases in infrastructure spending, real estate development activity, and consumer spending. Slower export growth will weigh on GDP growth because exports are nearly 100% of GDP, but most of Vietnam's exports are produced by FDI companies that are not reliant on local banks for financing, while slower exports will affect the economy, they will not significantly hurt the banks. Furthermore, banks should be the biggest beneficiaries of the shift to more domestically driven growth because: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Vietnamese banks touch nearly every part of the country's domestic economy, and</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Banks are especially exposed to real estate and consumption, which we expect will help drive the economy in 2025.</w:t>
      </w:r>
    </w:p>
    <w:p w:rsidR="00000000" w:rsidDel="00000000" w:rsidP="00000000" w:rsidRDefault="00000000" w:rsidRPr="00000000" w14:paraId="00000007">
      <w:pPr>
        <w:spacing w:after="240" w:before="240" w:lineRule="auto"/>
        <w:rPr/>
      </w:pPr>
      <w:r w:rsidDel="00000000" w:rsidR="00000000" w:rsidRPr="00000000">
        <w:rPr>
          <w:rtl w:val="0"/>
        </w:rPr>
        <w:t xml:space="preserve">We expect the Government to take concrete steps to boost the real estate market this year, which could result in mortgage loan growth doubling from around 10% in 2024 to 20% in 2025. A real estate market revival would also boost consumer confidence, as well as other forms of high margin consumer lending, such as auto loans and buy-now-pay-later purchases. Consumer confidence in Vietnam was very weak throughout 2023 and in the beginning of 2024, but began recovering from mid-2024. A real estate market revival would further boost confidence and lending to consumers.</w:t>
      </w:r>
    </w:p>
    <w:p w:rsidR="00000000" w:rsidDel="00000000" w:rsidP="00000000" w:rsidRDefault="00000000" w:rsidRPr="00000000" w14:paraId="00000008">
      <w:pPr>
        <w:spacing w:after="240" w:before="240" w:lineRule="auto"/>
        <w:rPr/>
      </w:pPr>
      <w:r w:rsidDel="00000000" w:rsidR="00000000" w:rsidRPr="00000000">
        <w:rPr>
          <w:rtl w:val="0"/>
        </w:rPr>
        <w:t xml:space="preserve">The Government also plans to support 2025 GDP growth by spending more on infrastructure development, which should create more lending opportunities for banks. That said, the most important takeaway from all of the above is the combination of increased infrastructure spending, improved consumer sentiment, and a real estate market revival would all propel banks' credit growth, support banks' NIMs, and foster the ongoing recovery of asset quality in Vietnam.</w:t>
      </w:r>
    </w:p>
    <w:p w:rsidR="00000000" w:rsidDel="00000000" w:rsidP="00000000" w:rsidRDefault="00000000" w:rsidRPr="00000000" w14:paraId="00000009">
      <w:pPr>
        <w:spacing w:after="240" w:before="240" w:lineRule="auto"/>
        <w:rPr/>
      </w:pPr>
      <w:r w:rsidDel="00000000" w:rsidR="00000000" w:rsidRPr="00000000">
        <w:rPr>
          <w:rtl w:val="0"/>
        </w:rPr>
        <w:t xml:space="preserve">Recovering Asset Quality &amp; Improving Loan Mix</w:t>
      </w:r>
    </w:p>
    <w:p w:rsidR="00000000" w:rsidDel="00000000" w:rsidP="00000000" w:rsidRDefault="00000000" w:rsidRPr="00000000" w14:paraId="0000000A">
      <w:pPr>
        <w:spacing w:after="240" w:before="240" w:lineRule="auto"/>
        <w:rPr/>
      </w:pPr>
      <w:r w:rsidDel="00000000" w:rsidR="00000000" w:rsidRPr="00000000">
        <w:rPr>
          <w:rtl w:val="0"/>
        </w:rPr>
        <w:t xml:space="preserve">We expect the earnings of Vietnam's listed bank shares to grow 17% this year, driven by 15% system-wide credit growth and by a slight increase in system-wide NIM (by 6 bps to 355 bps in 2025). The ongoing recovery in asset quality will also support earnings growth somewhat this year, as will an improved composition of loan growth. We discuss both of those topics below, as well as interdependencies between loan growth, NIM, and asset quality. For example, weak demand for mortgages in 2024 prompted banks to grow their business lending by nearly 20% last year, but much of that new lending was short-dated working capital loans, lent at highly competitive interest rates, which in-turn depressed NIMs.</w:t>
      </w:r>
    </w:p>
    <w:p w:rsidR="00000000" w:rsidDel="00000000" w:rsidP="00000000" w:rsidRDefault="00000000" w:rsidRPr="00000000" w14:paraId="0000000B">
      <w:pPr>
        <w:spacing w:after="240" w:before="240" w:lineRule="auto"/>
        <w:rPr/>
      </w:pPr>
      <w:r w:rsidDel="00000000" w:rsidR="00000000" w:rsidRPr="00000000">
        <w:rPr>
          <w:rtl w:val="0"/>
        </w:rPr>
        <w:t xml:space="preserve">We expect Vietnam's system-wide loan growth to remain at around 15% in 2025 but for high-margin retail loan growth to accelerate from around 12% in 2024 to 15% in 2025. We also expect banks to make more long-dated loans this year by lending to infrastructure projects, which typically have long time horizons. The resulting "maturity transformation" of loans (when banks gather shorter-dated loans will support NIMs (banks earn higher profits by gathering short term deposits and extending long-term loans that usually earn higher interest rates).</w:t>
      </w:r>
    </w:p>
    <w:p w:rsidR="00000000" w:rsidDel="00000000" w:rsidP="00000000" w:rsidRDefault="00000000" w:rsidRPr="00000000" w14:paraId="0000000C">
      <w:pPr>
        <w:spacing w:after="240" w:before="240" w:lineRule="auto"/>
        <w:rPr/>
      </w:pPr>
      <w:r w:rsidDel="00000000" w:rsidR="00000000" w:rsidRPr="00000000">
        <w:rPr>
          <w:rtl w:val="0"/>
        </w:rPr>
        <w:t xml:space="preserve">That said, some banks extending long term loans will also need to raise additional long-term deposits/funding to fund that lending, which will temper the profitability of those loans. Finally, real estate lending picked up considerably last year as the market recovery gathered steam, although some lending to real estate developers was for the refinancing of maturing corporate bonds that developers previously sold to retail and other investors.</w:t>
      </w:r>
    </w:p>
    <w:p w:rsidR="00000000" w:rsidDel="00000000" w:rsidP="00000000" w:rsidRDefault="00000000" w:rsidRPr="00000000" w14:paraId="0000000D">
      <w:pPr>
        <w:spacing w:after="240" w:before="240" w:lineRule="auto"/>
        <w:rPr/>
      </w:pPr>
      <w:r w:rsidDel="00000000" w:rsidR="00000000" w:rsidRPr="00000000">
        <w:rPr>
          <w:rtl w:val="0"/>
        </w:rPr>
        <w:t xml:space="preserve">Mixed NIM Dynamics</w:t>
      </w:r>
    </w:p>
    <w:p w:rsidR="00000000" w:rsidDel="00000000" w:rsidP="00000000" w:rsidRDefault="00000000" w:rsidRPr="00000000" w14:paraId="0000000E">
      <w:pPr>
        <w:spacing w:after="240" w:before="240" w:lineRule="auto"/>
        <w:rPr/>
      </w:pPr>
      <w:r w:rsidDel="00000000" w:rsidR="00000000" w:rsidRPr="00000000">
        <w:rPr>
          <w:rtl w:val="0"/>
        </w:rPr>
        <w:t xml:space="preserve">We expect system-wide NIM to tick-up slightly in 2025. Consumer and infrastructure lending should boost NIMs, and the real estate market rebound means that banks will not need to roll-over loans to property borrowers at low interest rates in order to "rescue" their customers. Also, some banks extend "window dressing" loans with de minimis NIMs to reach their credit quotas when credit demand is low – in order to ensure being granted comparable credit quotas by the SBV the following year. Such lending depresses reported NIMs, but banks should be able to meet their credit growth quotas with real loan demand this year, which in-turn should alleviate this source of downward NIM pressure in 2025.</w:t>
      </w:r>
    </w:p>
    <w:p w:rsidR="00000000" w:rsidDel="00000000" w:rsidP="00000000" w:rsidRDefault="00000000" w:rsidRPr="00000000" w14:paraId="0000000F">
      <w:pPr>
        <w:spacing w:after="240" w:before="240" w:lineRule="auto"/>
        <w:rPr/>
      </w:pPr>
      <w:r w:rsidDel="00000000" w:rsidR="00000000" w:rsidRPr="00000000">
        <w:rPr>
          <w:rtl w:val="0"/>
        </w:rPr>
        <w:t xml:space="preserve">All of that said, system-wide loan growth in Vietnam outstripped deposit growth by 5%pts as of 25 December, 2024 (14% YTD loan growth versus 9%YTD deposit growth), which is putting upward pressure on deposit rates. We would characterize the current state of system-wide liquidity in Vietnam as "tight, but not stretched." That characterization is consistent with the fact that six-month deposit rates initially fell by about 60 bps in early-2024 (reaching a low of 3.5% in March), and then bounced back to over 4% by end-2024. Note that: 1) VN Dong depreciation (5% in 2024) is also currently putting upward pressure on deposit rates, and 2) inflation averaged 3.6% in 2024 and is not significantly impacting deposit rates.</w:t>
      </w:r>
    </w:p>
    <w:p w:rsidR="00000000" w:rsidDel="00000000" w:rsidP="00000000" w:rsidRDefault="00000000" w:rsidRPr="00000000" w14:paraId="00000010">
      <w:pPr>
        <w:spacing w:after="240" w:before="240" w:lineRule="auto"/>
        <w:rPr/>
      </w:pPr>
      <w:r w:rsidDel="00000000" w:rsidR="00000000" w:rsidRPr="00000000">
        <w:rPr>
          <w:rtl w:val="0"/>
        </w:rPr>
        <w:t xml:space="preserve">In short, we expect the average six-month deposit rates of all Vietnam's banks to increase by 50-70 bps this year to nearly 5% by end-2025 (note that state-owned banks typically pay savers interest rates that are typically around 1%pts below the average rates private sector banks pay). That modest increase in deposit rates, coupled with all of the factors discussed above, means NIMs are likely to finish this year nearly unchanged.</w:t>
      </w:r>
    </w:p>
    <w:p w:rsidR="00000000" w:rsidDel="00000000" w:rsidP="00000000" w:rsidRDefault="00000000" w:rsidRPr="00000000" w14:paraId="00000011">
      <w:pPr>
        <w:spacing w:after="240" w:before="240" w:lineRule="auto"/>
        <w:rPr/>
      </w:pPr>
      <w:r w:rsidDel="00000000" w:rsidR="00000000" w:rsidRPr="00000000">
        <w:rPr>
          <w:rtl w:val="0"/>
        </w:rPr>
        <w:t xml:space="preserve">Recovering Asset Quality</w:t>
      </w:r>
    </w:p>
    <w:p w:rsidR="00000000" w:rsidDel="00000000" w:rsidP="00000000" w:rsidRDefault="00000000" w:rsidRPr="00000000" w14:paraId="00000012">
      <w:pPr>
        <w:spacing w:after="240" w:before="240" w:lineRule="auto"/>
        <w:rPr/>
      </w:pPr>
      <w:r w:rsidDel="00000000" w:rsidR="00000000" w:rsidRPr="00000000">
        <w:rPr>
          <w:rtl w:val="0"/>
        </w:rPr>
        <w:t xml:space="preserve">Asset quality issues in Vietnam reached a crescendo in early-2023, following the collapse of Saigon Commercial Bank (SCB) in late-2022. The official, system-wide NPL figure (excluding SCB) hovered around 2% since then, thanks in part to various forbearance measures, although the official number looks set to start declining despite the fact that most of those measures have now expired. More importantly, some banks started reporting "Other Income" from the recovery of bad loans that had already been written off. This so-called "write-back" income is a concrete sign that banks asset problems are now essentially finished, and it boosted sector-wide earnings by about 10%pts in 2024.</w:t>
      </w:r>
    </w:p>
    <w:p w:rsidR="00000000" w:rsidDel="00000000" w:rsidP="00000000" w:rsidRDefault="00000000" w:rsidRPr="00000000" w14:paraId="00000013">
      <w:pPr>
        <w:spacing w:after="240" w:before="240" w:lineRule="auto"/>
        <w:rPr/>
      </w:pPr>
      <w:r w:rsidDel="00000000" w:rsidR="00000000" w:rsidRPr="00000000">
        <w:rPr>
          <w:rtl w:val="0"/>
        </w:rPr>
        <w:t xml:space="preserve">Write-backs are recorded as Non-Interest Income (NOII), which in-turn accounts for about 20% of the Total Operating Income (TOI) of Vietnamese banks. We expect NOII to grow by over 10% this year, driven by write-backs and by other non-interest income such as bancassurance fees. However, credit costs are only likely to fall slightly (3% in 2024 to 1.2% in 2025), despite recovering asset quality. This is because the average Loan Loss Reserve in Vietnam fell from well over 150% two years ago to around 100% on average now (the median LLR is around 70% and some banks' LLRs are well below 100%).</w:t>
      </w:r>
    </w:p>
    <w:p w:rsidR="00000000" w:rsidDel="00000000" w:rsidP="00000000" w:rsidRDefault="00000000" w:rsidRPr="00000000" w14:paraId="00000014">
      <w:pPr>
        <w:spacing w:after="240" w:before="240" w:lineRule="auto"/>
        <w:rPr/>
      </w:pPr>
      <w:r w:rsidDel="00000000" w:rsidR="00000000" w:rsidRPr="00000000">
        <w:rPr>
          <w:rtl w:val="0"/>
        </w:rPr>
        <w:t xml:space="preserve">In short, banks in Vietnam were essentially over-provisioned in the lead-up to the SCB collapse, and then depleted their LLRs during 2023-24 to manage their reported earnings. Vietnamese banks have now started rebuilding their LLRs, which is why we do not expect a bigger drop in credit costs this year, despite improving asset quality.</w:t>
      </w:r>
    </w:p>
    <w:p w:rsidR="00000000" w:rsidDel="00000000" w:rsidP="00000000" w:rsidRDefault="00000000" w:rsidRPr="00000000" w14:paraId="00000015">
      <w:pPr>
        <w:spacing w:after="240" w:before="240" w:lineRule="auto"/>
        <w:rPr/>
      </w:pPr>
      <w:r w:rsidDel="00000000" w:rsidR="00000000" w:rsidRPr="00000000">
        <w:rPr>
          <w:rtl w:val="0"/>
        </w:rPr>
        <w:t xml:space="preserve">Picking the Winners</w:t>
      </w:r>
    </w:p>
    <w:p w:rsidR="00000000" w:rsidDel="00000000" w:rsidP="00000000" w:rsidRDefault="00000000" w:rsidRPr="00000000" w14:paraId="00000016">
      <w:pPr>
        <w:spacing w:after="240" w:before="240" w:lineRule="auto"/>
        <w:rPr/>
      </w:pPr>
      <w:r w:rsidDel="00000000" w:rsidR="00000000" w:rsidRPr="00000000">
        <w:rPr>
          <w:rtl w:val="0"/>
        </w:rPr>
        <w:t xml:space="preserve">Vietnamese bank stocks are trading at a 1.3x FY25 P/B versus 16% expected ROE, which is ~2 standard deviations below banks' 5-year average P/B (banks that generate 16% ROE typically trade above 2x P/B). Valuation is also cheap on a Price-to-Forward Earnings Ratio basis: 8.5x FY25 P/E vs. 17% EPS growth). Last year, valuations were even cheaper before a partial re-rating of bank stock valuations, when the increase in bank stock prices (26%) outpaced EPS growth (14%). One reason for that cheap valuation is that Vietnam's 30% foreign ownership limit (FOL) for banks essentially makes local retail investors the marginal buyers who set bank stock prices in Vietnam, and those investors are not as focused on valuations as foreigners.</w:t>
      </w:r>
    </w:p>
    <w:p w:rsidR="00000000" w:rsidDel="00000000" w:rsidP="00000000" w:rsidRDefault="00000000" w:rsidRPr="00000000" w14:paraId="00000017">
      <w:pPr>
        <w:spacing w:after="240" w:before="240" w:lineRule="auto"/>
        <w:rPr/>
      </w:pPr>
      <w:r w:rsidDel="00000000" w:rsidR="00000000" w:rsidRPr="00000000">
        <w:rPr>
          <w:rtl w:val="0"/>
        </w:rPr>
        <w:t xml:space="preserve">Investors in Vietnam's stock market are generally aware of the sector's inexpensive valuation, but many do not realize how big the difference is between the valuations and stock price performance of individual banks, or how much divergence there is between the operating, asset quality, and other metrics among individual banks. These all factor into how we select the bank stocks for our diversified portfolios, as does our expectation for a shift to more domestically driven growth this year that would benefit banks focusing on the real estate sector and lending to consumers, as well as banks that lend to infrastructure projects (the latter are likely to be state-owned banks).</w:t>
      </w:r>
    </w:p>
    <w:p w:rsidR="00000000" w:rsidDel="00000000" w:rsidP="00000000" w:rsidRDefault="00000000" w:rsidRPr="00000000" w14:paraId="00000018">
      <w:pPr>
        <w:spacing w:after="240" w:before="240" w:lineRule="auto"/>
        <w:rPr/>
      </w:pPr>
      <w:r w:rsidDel="00000000" w:rsidR="00000000" w:rsidRPr="00000000">
        <w:rPr>
          <w:rtl w:val="0"/>
        </w:rPr>
        <w:t xml:space="preserve">We bifurcate those banks into two groups: banks with good asset quality and more diversified loan/loss exposure to the real estate sector, and banks with higher exposure to the real estate sector and/or that are more aggressively geared to a recovery of consumer borrowing. We then carefully consider valuation metrics to make our actual stock picks given the wide variation as can be seen in the chart below.</w:t>
      </w:r>
    </w:p>
    <w:p w:rsidR="00000000" w:rsidDel="00000000" w:rsidP="00000000" w:rsidRDefault="00000000" w:rsidRPr="00000000" w14:paraId="00000019">
      <w:pPr>
        <w:spacing w:after="240" w:before="240" w:lineRule="auto"/>
        <w:rPr/>
      </w:pPr>
      <w:r w:rsidDel="00000000" w:rsidR="00000000" w:rsidRPr="00000000">
        <w:rPr>
          <w:rtl w:val="0"/>
        </w:rPr>
        <w:t xml:space="preserve">The former cohort includes tickers like ACB, VCB, CTG, BID, and STB, which are all banks that have the capacity to benefit from the "rising tide lifting all boats" dynamic that we expect for Vietnam's banks this year. Those banks are especially able to expand their lending to the real estate sector since they are not encumbered by legacy issues and/or the need to support their distressed customers. These are also the banks benefitting the most from write-back income because their prior prudent lending practices mean that they have more recoverable collateral assets backing their loans.</w:t>
      </w:r>
    </w:p>
    <w:p w:rsidR="00000000" w:rsidDel="00000000" w:rsidP="00000000" w:rsidRDefault="00000000" w:rsidRPr="00000000" w14:paraId="0000001A">
      <w:pPr>
        <w:spacing w:after="240" w:before="240" w:lineRule="auto"/>
        <w:rPr/>
      </w:pPr>
      <w:r w:rsidDel="00000000" w:rsidR="00000000" w:rsidRPr="00000000">
        <w:rPr>
          <w:rtl w:val="0"/>
        </w:rPr>
        <w:t xml:space="preserve">The latter cohort includes more aggressive banks like TCB, VPB, MBB, and HDB, which may either directly benefit by increasing lending to real estate developers or will likely see some of their legacy asset quality issues resolved by a revival of the real estate market. For example, we mentioned above that the LLRs of some banks are well below 100%; the stock prices of thinly provisioned banks (or banks that the market believes have underreported their bad debts) should be highly geared to a recovery in the real estate market.</w:t>
      </w:r>
    </w:p>
    <w:p w:rsidR="00000000" w:rsidDel="00000000" w:rsidP="00000000" w:rsidRDefault="00000000" w:rsidRPr="00000000" w14:paraId="0000001B">
      <w:pPr>
        <w:spacing w:after="240" w:before="240" w:lineRule="auto"/>
        <w:rPr/>
      </w:pPr>
      <w:r w:rsidDel="00000000" w:rsidR="00000000" w:rsidRPr="00000000">
        <w:rPr>
          <w:rtl w:val="0"/>
        </w:rPr>
        <w:t xml:space="preserve">A Strategy for 2025</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The portfolios of our active investment funds include both "fast mover" banks that are highly geared to Vietnam's likely economic scenario this year, plus some more conservative banks that are unencumbered with legacy issues. We think of this as a "barbell" bank investment strategy and also overlay bank-specific considerations into our investment decisions, such as picking banks that have recently resolved (or are likely to soon resolve) legacy issues, banks with particularly strong digitization plans and/or banks that can (and will) raise substantial amounts of capital in order to fund their growth going forward (our fund managers may significantly overweight stocks that meet these, and other criteria in their portfolios).</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Conclusions</w:t>
      </w:r>
    </w:p>
    <w:p w:rsidR="00000000" w:rsidDel="00000000" w:rsidP="00000000" w:rsidRDefault="00000000" w:rsidRPr="00000000" w14:paraId="0000001E">
      <w:pPr>
        <w:spacing w:after="240" w:before="240" w:lineRule="auto"/>
        <w:rPr/>
      </w:pPr>
      <w:r w:rsidDel="00000000" w:rsidR="00000000" w:rsidRPr="00000000">
        <w:rPr>
          <w:rtl w:val="0"/>
        </w:rPr>
        <w:t xml:space="preserve">Bank stocks significantly outperformed the VN-Index in 2024, and we expect continued strong performance in 2025, given the current low valuation of banks (1.3x P/B vs 16% ROE). We also expect continued performance dispersion among listed banks due to the wide range of valuations, asset quality and earnings growth of those banks. Our views are expressed in the portfolio holdings of our offshore VOF and VVF UCITS funds, and in our onshore funds. Even when the total weight of bank stocks in those portfolios is in-line with that of the banking sector in the VN-Index, the weighting of the individual stocks in those funds is very different than their weighting in the VNI, which we believe will enable us to outperform broader market.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