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2D317" w14:textId="77777777" w:rsidR="004E390A" w:rsidRDefault="00000000" w:rsidP="009464EA">
      <w:pPr>
        <w:pStyle w:val="Heading1"/>
        <w:spacing w:before="0"/>
        <w:jc w:val="center"/>
      </w:pPr>
      <w:r>
        <w:t>Summary of Insights and Recommendations</w:t>
      </w:r>
    </w:p>
    <w:tbl>
      <w:tblPr>
        <w:tblStyle w:val="LightGrid"/>
        <w:tblW w:w="9518" w:type="dxa"/>
        <w:tblInd w:w="-342" w:type="dxa"/>
        <w:tblLook w:val="04A0" w:firstRow="1" w:lastRow="0" w:firstColumn="1" w:lastColumn="0" w:noHBand="0" w:noVBand="1"/>
      </w:tblPr>
      <w:tblGrid>
        <w:gridCol w:w="4908"/>
        <w:gridCol w:w="2311"/>
        <w:gridCol w:w="2299"/>
      </w:tblGrid>
      <w:tr w:rsidR="003B3919" w14:paraId="74971AE4" w14:textId="77777777" w:rsidTr="00946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8" w:type="dxa"/>
            <w:shd w:val="clear" w:color="auto" w:fill="002060"/>
          </w:tcPr>
          <w:p w14:paraId="63A8DB4A" w14:textId="56E85DED" w:rsidR="004E390A" w:rsidRDefault="009464EA" w:rsidP="009464EA">
            <w:pPr>
              <w:jc w:val="center"/>
            </w:pPr>
            <w:r>
              <w:t>Descripti</w:t>
            </w:r>
            <w:r w:rsidR="00265972">
              <w:t>ons</w:t>
            </w:r>
          </w:p>
        </w:tc>
        <w:tc>
          <w:tcPr>
            <w:tcW w:w="2311" w:type="dxa"/>
            <w:shd w:val="clear" w:color="auto" w:fill="002060"/>
          </w:tcPr>
          <w:p w14:paraId="5FF1A017" w14:textId="77777777" w:rsidR="004E39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 Insights</w:t>
            </w:r>
          </w:p>
        </w:tc>
        <w:tc>
          <w:tcPr>
            <w:tcW w:w="2299" w:type="dxa"/>
            <w:shd w:val="clear" w:color="auto" w:fill="002060"/>
          </w:tcPr>
          <w:p w14:paraId="53977602" w14:textId="77777777" w:rsidR="004E39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Recommendations</w:t>
            </w:r>
          </w:p>
        </w:tc>
      </w:tr>
      <w:tr w:rsidR="009464EA" w14:paraId="3C501430" w14:textId="77777777" w:rsidTr="00946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8" w:type="dxa"/>
            <w:shd w:val="clear" w:color="auto" w:fill="auto"/>
          </w:tcPr>
          <w:p w14:paraId="10118CD7" w14:textId="77777777" w:rsidR="009464EA" w:rsidRDefault="009464EA" w:rsidP="009464EA">
            <w:pPr>
              <w:rPr>
                <w:b w:val="0"/>
                <w:bCs w:val="0"/>
              </w:rPr>
            </w:pPr>
            <w:r>
              <w:t>Spending Timeline</w:t>
            </w:r>
          </w:p>
          <w:p w14:paraId="63EF99CF" w14:textId="0C54E029" w:rsidR="009464EA" w:rsidRDefault="009464EA" w:rsidP="009464EA">
            <w:r>
              <w:rPr>
                <w:noProof/>
              </w:rPr>
              <w:drawing>
                <wp:inline distT="0" distB="0" distL="0" distR="0" wp14:anchorId="2F284662" wp14:editId="3720EE00">
                  <wp:extent cx="2964180" cy="1296829"/>
                  <wp:effectExtent l="0" t="0" r="7620" b="0"/>
                  <wp:docPr id="1187980186" name="Picture 1" descr="A graph with blue line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7980186" name="Picture 1" descr="A graph with blue lines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2406" cy="1304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1" w:type="dxa"/>
            <w:shd w:val="clear" w:color="auto" w:fill="auto"/>
          </w:tcPr>
          <w:p w14:paraId="79EC7323" w14:textId="05574C06" w:rsidR="009464EA" w:rsidRPr="00942267" w:rsidRDefault="009464EA" w:rsidP="00946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t>Upward trend with seasonal peaks (likely linked to holidays/shopping events).</w:t>
            </w:r>
            <w:r w:rsidRPr="00A2386A">
              <w:rPr>
                <w:i/>
                <w:iCs/>
                <w:color w:val="7030A0"/>
              </w:rPr>
              <w:t xml:space="preserve"> / </w:t>
            </w:r>
            <w:r w:rsidRPr="00265972">
              <w:rPr>
                <w:b/>
                <w:bCs/>
                <w:i/>
                <w:iCs/>
                <w:color w:val="7030A0"/>
              </w:rPr>
              <w:t xml:space="preserve">Xu hướng tăng theo mùa </w:t>
            </w:r>
            <w:r w:rsidRPr="00A2386A">
              <w:rPr>
                <w:i/>
                <w:iCs/>
                <w:color w:val="7030A0"/>
              </w:rPr>
              <w:t>(có thể liên quan đến các ngày lễ/sự kiện mua sắm).</w:t>
            </w:r>
          </w:p>
        </w:tc>
        <w:tc>
          <w:tcPr>
            <w:tcW w:w="2299" w:type="dxa"/>
            <w:shd w:val="clear" w:color="auto" w:fill="auto"/>
          </w:tcPr>
          <w:p w14:paraId="7F09F6DA" w14:textId="010C2361" w:rsidR="009464EA" w:rsidRPr="00942267" w:rsidRDefault="009464EA" w:rsidP="00946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t>Align promotions with seasonal spikes; implement loyalty programs to stabilize off-season spending.</w:t>
            </w:r>
            <w:r w:rsidRPr="00A2386A">
              <w:rPr>
                <w:i/>
                <w:iCs/>
                <w:color w:val="7030A0"/>
              </w:rPr>
              <w:t xml:space="preserve"> / </w:t>
            </w:r>
            <w:r w:rsidRPr="00265972">
              <w:rPr>
                <w:b/>
                <w:bCs/>
                <w:i/>
                <w:iCs/>
                <w:color w:val="7030A0"/>
              </w:rPr>
              <w:t>Khuyến mãi theo mùa</w:t>
            </w:r>
            <w:r w:rsidRPr="00A2386A">
              <w:rPr>
                <w:i/>
                <w:iCs/>
                <w:color w:val="7030A0"/>
              </w:rPr>
              <w:t xml:space="preserve">; triển khai </w:t>
            </w:r>
            <w:r w:rsidRPr="00265972">
              <w:rPr>
                <w:b/>
                <w:bCs/>
                <w:i/>
                <w:iCs/>
                <w:color w:val="7030A0"/>
              </w:rPr>
              <w:t xml:space="preserve">khách hàng thân thiết </w:t>
            </w:r>
            <w:r w:rsidRPr="00A2386A">
              <w:rPr>
                <w:i/>
                <w:iCs/>
                <w:color w:val="7030A0"/>
              </w:rPr>
              <w:t>để ổn định chi tiêu ngoài mùa.</w:t>
            </w:r>
          </w:p>
        </w:tc>
      </w:tr>
      <w:tr w:rsidR="009464EA" w14:paraId="478058D1" w14:textId="77777777" w:rsidTr="009464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8" w:type="dxa"/>
          </w:tcPr>
          <w:p w14:paraId="0221EB03" w14:textId="77777777" w:rsidR="009464EA" w:rsidRDefault="009464EA" w:rsidP="009464EA">
            <w:pPr>
              <w:rPr>
                <w:b w:val="0"/>
                <w:bCs w:val="0"/>
              </w:rPr>
            </w:pPr>
            <w:r>
              <w:t>MCC Category Analysis</w:t>
            </w:r>
          </w:p>
          <w:p w14:paraId="677E12BA" w14:textId="6A41706F" w:rsidR="009464EA" w:rsidRDefault="009464EA" w:rsidP="009464EA">
            <w:r>
              <w:rPr>
                <w:noProof/>
              </w:rPr>
              <w:drawing>
                <wp:inline distT="0" distB="0" distL="0" distR="0" wp14:anchorId="6B8341D1" wp14:editId="2580EA8F">
                  <wp:extent cx="2964180" cy="1755074"/>
                  <wp:effectExtent l="0" t="0" r="7620" b="0"/>
                  <wp:docPr id="550026252" name="Picture 7" descr="A graph of a number of peopl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026252" name="Picture 7" descr="A graph of a number of peopl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864" cy="1767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1" w:type="dxa"/>
          </w:tcPr>
          <w:p w14:paraId="6AA161E7" w14:textId="5DB33EB3" w:rsidR="009464EA" w:rsidRDefault="009464EA" w:rsidP="009464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Dining &amp; Shopping MCCs dominate repeat transactions.</w:t>
            </w:r>
            <w:r w:rsidRPr="003B3919">
              <w:rPr>
                <w:i/>
                <w:iCs/>
                <w:color w:val="7030A0"/>
              </w:rPr>
              <w:t xml:space="preserve"> / Các </w:t>
            </w:r>
            <w:r>
              <w:rPr>
                <w:i/>
                <w:iCs/>
                <w:color w:val="7030A0"/>
              </w:rPr>
              <w:t>lĩnh vực</w:t>
            </w:r>
            <w:r w:rsidRPr="003B3919">
              <w:rPr>
                <w:i/>
                <w:iCs/>
                <w:color w:val="7030A0"/>
              </w:rPr>
              <w:t xml:space="preserve"> </w:t>
            </w:r>
            <w:r w:rsidRPr="00265972">
              <w:rPr>
                <w:b/>
                <w:bCs/>
                <w:i/>
                <w:iCs/>
                <w:color w:val="7030A0"/>
              </w:rPr>
              <w:t xml:space="preserve">ăn uống và mua sắm chiếm ưu thế </w:t>
            </w:r>
            <w:r w:rsidRPr="003B3919">
              <w:rPr>
                <w:i/>
                <w:iCs/>
                <w:color w:val="7030A0"/>
              </w:rPr>
              <w:t>trong các giao dịch</w:t>
            </w:r>
            <w:r>
              <w:rPr>
                <w:i/>
                <w:iCs/>
                <w:color w:val="7030A0"/>
              </w:rPr>
              <w:t xml:space="preserve"> được thực hiện</w:t>
            </w:r>
            <w:r w:rsidRPr="003B3919">
              <w:rPr>
                <w:i/>
                <w:iCs/>
                <w:color w:val="7030A0"/>
              </w:rPr>
              <w:t>.</w:t>
            </w:r>
          </w:p>
        </w:tc>
        <w:tc>
          <w:tcPr>
            <w:tcW w:w="2299" w:type="dxa"/>
          </w:tcPr>
          <w:p w14:paraId="4C35D02E" w14:textId="40792F32" w:rsidR="009464EA" w:rsidRDefault="009464EA" w:rsidP="009464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Introduce cashback, discounts, or loyalty points specifically for Dining &amp; Shopping categories.</w:t>
            </w:r>
            <w:r w:rsidRPr="003B3919">
              <w:rPr>
                <w:i/>
                <w:iCs/>
                <w:color w:val="7030A0"/>
              </w:rPr>
              <w:t xml:space="preserve"> / Giới thiệu </w:t>
            </w:r>
            <w:r w:rsidRPr="00265972">
              <w:rPr>
                <w:b/>
                <w:bCs/>
                <w:i/>
                <w:iCs/>
                <w:color w:val="7030A0"/>
              </w:rPr>
              <w:t>chương trình hoàn tiền, giảm giá hoặc điểm thưởng</w:t>
            </w:r>
            <w:r w:rsidRPr="003B3919">
              <w:rPr>
                <w:i/>
                <w:iCs/>
                <w:color w:val="7030A0"/>
              </w:rPr>
              <w:t xml:space="preserve"> dành riêng cho các hạng mục Ăn uống &amp; Mua sắm.</w:t>
            </w:r>
          </w:p>
        </w:tc>
      </w:tr>
      <w:tr w:rsidR="009464EA" w14:paraId="15B7A7B5" w14:textId="77777777" w:rsidTr="00946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8" w:type="dxa"/>
            <w:shd w:val="clear" w:color="auto" w:fill="auto"/>
          </w:tcPr>
          <w:p w14:paraId="7F98C892" w14:textId="77777777" w:rsidR="009464EA" w:rsidRDefault="009464EA" w:rsidP="009464EA">
            <w:pPr>
              <w:spacing w:after="120"/>
              <w:rPr>
                <w:b w:val="0"/>
                <w:bCs w:val="0"/>
              </w:rPr>
            </w:pPr>
            <w:r>
              <w:t>Spending by Credit Limit Group</w:t>
            </w:r>
          </w:p>
          <w:p w14:paraId="4C3DC7D6" w14:textId="339BEF5F" w:rsidR="009464EA" w:rsidRPr="009464EA" w:rsidRDefault="009464EA" w:rsidP="009464EA">
            <w:pPr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56F5BEFF" wp14:editId="2CAD1CB2">
                  <wp:extent cx="2956560" cy="2523490"/>
                  <wp:effectExtent l="0" t="0" r="0" b="0"/>
                  <wp:docPr id="2077287233" name="Picture 1" descr="A graph of different colored bar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287233" name="Picture 1" descr="A graph of different colored bars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02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6560" cy="2523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1" w:type="dxa"/>
            <w:shd w:val="clear" w:color="auto" w:fill="auto"/>
          </w:tcPr>
          <w:p w14:paraId="792834A1" w14:textId="0832AD43" w:rsidR="009464EA" w:rsidRPr="00942267" w:rsidRDefault="009464EA" w:rsidP="00946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2267">
              <w:rPr>
                <w:sz w:val="20"/>
                <w:szCs w:val="20"/>
              </w:rPr>
              <w:t>Higher credit limits correlate with higher spending; low limit group contributes the least.</w:t>
            </w:r>
            <w:r>
              <w:rPr>
                <w:sz w:val="20"/>
                <w:szCs w:val="20"/>
              </w:rPr>
              <w:t xml:space="preserve"> / </w:t>
            </w:r>
            <w:r w:rsidRPr="00265972">
              <w:rPr>
                <w:b/>
                <w:bCs/>
                <w:i/>
                <w:iCs/>
                <w:color w:val="7030A0"/>
                <w:sz w:val="20"/>
                <w:szCs w:val="20"/>
              </w:rPr>
              <w:t>Hạn mức tín dụng cao hơn tương quan với chi tiêu cao hơn</w:t>
            </w:r>
            <w:r w:rsidRPr="00942267">
              <w:rPr>
                <w:i/>
                <w:iCs/>
                <w:color w:val="7030A0"/>
                <w:sz w:val="20"/>
                <w:szCs w:val="20"/>
              </w:rPr>
              <w:t xml:space="preserve">; nhóm hạn mức thấp </w:t>
            </w:r>
            <w:r w:rsidRPr="00942267">
              <w:rPr>
                <w:i/>
                <w:iCs/>
                <w:color w:val="7030A0"/>
              </w:rPr>
              <w:t>đóng</w:t>
            </w:r>
            <w:r w:rsidRPr="00942267">
              <w:rPr>
                <w:i/>
                <w:iCs/>
                <w:color w:val="7030A0"/>
                <w:sz w:val="20"/>
                <w:szCs w:val="20"/>
              </w:rPr>
              <w:t xml:space="preserve"> góp ít nhất.</w:t>
            </w:r>
          </w:p>
        </w:tc>
        <w:tc>
          <w:tcPr>
            <w:tcW w:w="2299" w:type="dxa"/>
            <w:shd w:val="clear" w:color="auto" w:fill="auto"/>
          </w:tcPr>
          <w:p w14:paraId="1678072B" w14:textId="47B4A9B4" w:rsidR="009464EA" w:rsidRPr="00942267" w:rsidRDefault="009464EA" w:rsidP="00946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2267">
              <w:rPr>
                <w:sz w:val="20"/>
                <w:szCs w:val="20"/>
              </w:rPr>
              <w:t>Tailor offers by limit: upsell to medium/upper-medium group; provide controlled credit upgrades for low-limit group.</w:t>
            </w:r>
            <w:r>
              <w:rPr>
                <w:sz w:val="20"/>
                <w:szCs w:val="20"/>
              </w:rPr>
              <w:t xml:space="preserve"> / </w:t>
            </w:r>
            <w:r w:rsidRPr="00942267">
              <w:rPr>
                <w:i/>
                <w:iCs/>
                <w:color w:val="7030A0"/>
                <w:sz w:val="20"/>
                <w:szCs w:val="20"/>
              </w:rPr>
              <w:t>Tùy chỉnh ưu đãi theo hạn</w:t>
            </w:r>
            <w:r w:rsidR="00265972">
              <w:rPr>
                <w:i/>
                <w:iCs/>
                <w:color w:val="7030A0"/>
                <w:sz w:val="20"/>
                <w:szCs w:val="20"/>
              </w:rPr>
              <w:t xml:space="preserve"> mức</w:t>
            </w:r>
            <w:r w:rsidRPr="00942267">
              <w:rPr>
                <w:i/>
                <w:iCs/>
                <w:color w:val="7030A0"/>
                <w:sz w:val="20"/>
                <w:szCs w:val="20"/>
              </w:rPr>
              <w:t xml:space="preserve">: </w:t>
            </w:r>
            <w:r w:rsidRPr="00265972">
              <w:rPr>
                <w:b/>
                <w:bCs/>
                <w:i/>
                <w:iCs/>
                <w:color w:val="7030A0"/>
              </w:rPr>
              <w:t>bán</w:t>
            </w:r>
            <w:r w:rsidRPr="00265972">
              <w:rPr>
                <w:b/>
                <w:bCs/>
                <w:i/>
                <w:iCs/>
                <w:color w:val="7030A0"/>
                <w:sz w:val="20"/>
                <w:szCs w:val="20"/>
              </w:rPr>
              <w:t xml:space="preserve"> thêm cho nhóm trung bình/trung bình cao</w:t>
            </w:r>
            <w:r w:rsidRPr="00942267">
              <w:rPr>
                <w:i/>
                <w:iCs/>
                <w:color w:val="7030A0"/>
                <w:sz w:val="20"/>
                <w:szCs w:val="20"/>
              </w:rPr>
              <w:t xml:space="preserve">; cung cấp nâng </w:t>
            </w:r>
            <w:r w:rsidRPr="00265972">
              <w:rPr>
                <w:b/>
                <w:bCs/>
                <w:i/>
                <w:iCs/>
                <w:color w:val="7030A0"/>
                <w:sz w:val="20"/>
                <w:szCs w:val="20"/>
              </w:rPr>
              <w:t>tín dụng có kiểm soát</w:t>
            </w:r>
            <w:r w:rsidRPr="00942267">
              <w:rPr>
                <w:i/>
                <w:iCs/>
                <w:color w:val="7030A0"/>
                <w:sz w:val="20"/>
                <w:szCs w:val="20"/>
              </w:rPr>
              <w:t xml:space="preserve"> cho nhóm </w:t>
            </w:r>
            <w:r w:rsidR="00265972">
              <w:rPr>
                <w:i/>
                <w:iCs/>
                <w:color w:val="7030A0"/>
                <w:sz w:val="20"/>
                <w:szCs w:val="20"/>
              </w:rPr>
              <w:t>có hạn mức</w:t>
            </w:r>
            <w:r w:rsidRPr="00942267">
              <w:rPr>
                <w:i/>
                <w:iCs/>
                <w:color w:val="7030A0"/>
                <w:sz w:val="20"/>
                <w:szCs w:val="20"/>
              </w:rPr>
              <w:t xml:space="preserve"> thấp.</w:t>
            </w:r>
          </w:p>
        </w:tc>
      </w:tr>
      <w:tr w:rsidR="009464EA" w14:paraId="3EF97A4F" w14:textId="77777777" w:rsidTr="009464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8" w:type="dxa"/>
          </w:tcPr>
          <w:p w14:paraId="34160327" w14:textId="77777777" w:rsidR="009464EA" w:rsidRDefault="009464EA" w:rsidP="009464EA">
            <w:pPr>
              <w:rPr>
                <w:b w:val="0"/>
                <w:bCs w:val="0"/>
              </w:rPr>
            </w:pPr>
            <w:r>
              <w:t>Average Credit Limit by Group</w:t>
            </w:r>
          </w:p>
          <w:p w14:paraId="67234D2D" w14:textId="330A2FEB" w:rsidR="009464EA" w:rsidRDefault="009464EA" w:rsidP="009464EA">
            <w:r>
              <w:rPr>
                <w:noProof/>
              </w:rPr>
              <w:drawing>
                <wp:inline distT="0" distB="0" distL="0" distR="0" wp14:anchorId="28DD1407" wp14:editId="31E9A7EF">
                  <wp:extent cx="2979420" cy="2523490"/>
                  <wp:effectExtent l="0" t="0" r="0" b="0"/>
                  <wp:docPr id="2042313030" name="Picture 1" descr="A graph of different colored bar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287233" name="Picture 1" descr="A graph of different colored bars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744" r="1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9420" cy="2523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1" w:type="dxa"/>
          </w:tcPr>
          <w:p w14:paraId="5054AC16" w14:textId="42E843D7" w:rsidR="009464EA" w:rsidRPr="00942267" w:rsidRDefault="009464EA" w:rsidP="009464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iCs/>
              </w:rPr>
            </w:pPr>
            <w:r>
              <w:t xml:space="preserve">Clear stepwise increase across groups; top-tier has significantly higher limits. / </w:t>
            </w:r>
            <w:r w:rsidRPr="00942267">
              <w:rPr>
                <w:i/>
                <w:iCs/>
                <w:color w:val="7030A0"/>
              </w:rPr>
              <w:t>Xu h</w:t>
            </w:r>
            <w:r>
              <w:rPr>
                <w:i/>
                <w:iCs/>
                <w:color w:val="7030A0"/>
              </w:rPr>
              <w:t>ướ</w:t>
            </w:r>
            <w:r w:rsidRPr="00942267">
              <w:rPr>
                <w:i/>
                <w:iCs/>
                <w:color w:val="7030A0"/>
              </w:rPr>
              <w:t>ng t</w:t>
            </w:r>
            <w:r w:rsidRPr="00942267">
              <w:rPr>
                <w:i/>
                <w:iCs/>
                <w:color w:val="7030A0"/>
              </w:rPr>
              <w:t xml:space="preserve">ăng dần rõ ràng theo từng nhóm; </w:t>
            </w:r>
            <w:r w:rsidRPr="00265972">
              <w:rPr>
                <w:b/>
                <w:bCs/>
                <w:i/>
                <w:iCs/>
                <w:color w:val="7030A0"/>
              </w:rPr>
              <w:t xml:space="preserve">nhóm cao cấp nhất có </w:t>
            </w:r>
            <w:r w:rsidR="00265972" w:rsidRPr="00265972">
              <w:rPr>
                <w:b/>
                <w:bCs/>
                <w:i/>
                <w:iCs/>
                <w:color w:val="7030A0"/>
              </w:rPr>
              <w:t>trung bình hạn mức</w:t>
            </w:r>
            <w:r w:rsidRPr="00265972">
              <w:rPr>
                <w:b/>
                <w:bCs/>
                <w:i/>
                <w:iCs/>
                <w:color w:val="7030A0"/>
              </w:rPr>
              <w:t xml:space="preserve"> cao</w:t>
            </w:r>
            <w:r w:rsidRPr="00942267">
              <w:rPr>
                <w:i/>
                <w:iCs/>
                <w:color w:val="7030A0"/>
              </w:rPr>
              <w:t xml:space="preserve"> hơn đáng kể.</w:t>
            </w:r>
          </w:p>
        </w:tc>
        <w:tc>
          <w:tcPr>
            <w:tcW w:w="2299" w:type="dxa"/>
          </w:tcPr>
          <w:p w14:paraId="5B5AA1AE" w14:textId="4D7F76B4" w:rsidR="009464EA" w:rsidRPr="00942267" w:rsidRDefault="009464EA" w:rsidP="009464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iCs/>
              </w:rPr>
            </w:pPr>
            <w:r>
              <w:t xml:space="preserve">Offer premium services to top-tier; design gradual upgrade paths for mid-tier customers. / </w:t>
            </w:r>
            <w:r w:rsidRPr="00942267">
              <w:rPr>
                <w:i/>
                <w:iCs/>
                <w:color w:val="7030A0"/>
              </w:rPr>
              <w:t xml:space="preserve">Cung cấp </w:t>
            </w:r>
            <w:r w:rsidRPr="00265972">
              <w:rPr>
                <w:b/>
                <w:bCs/>
                <w:i/>
                <w:iCs/>
                <w:color w:val="7030A0"/>
              </w:rPr>
              <w:t>dịch vụ cao cấp cho khách hàng hàng đầu</w:t>
            </w:r>
            <w:r w:rsidRPr="00942267">
              <w:rPr>
                <w:i/>
                <w:iCs/>
                <w:color w:val="7030A0"/>
              </w:rPr>
              <w:t xml:space="preserve">; thiết kế lộ trình </w:t>
            </w:r>
            <w:r w:rsidRPr="00265972">
              <w:rPr>
                <w:b/>
                <w:bCs/>
                <w:i/>
                <w:iCs/>
                <w:color w:val="7030A0"/>
              </w:rPr>
              <w:t>nâng cấp dần dần cho khách hàng tầm trung</w:t>
            </w:r>
            <w:r w:rsidRPr="00942267">
              <w:rPr>
                <w:i/>
                <w:iCs/>
                <w:color w:val="7030A0"/>
              </w:rPr>
              <w:t>.</w:t>
            </w:r>
          </w:p>
        </w:tc>
      </w:tr>
      <w:tr w:rsidR="009464EA" w14:paraId="184A9304" w14:textId="77777777" w:rsidTr="00946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8" w:type="dxa"/>
            <w:shd w:val="clear" w:color="auto" w:fill="auto"/>
          </w:tcPr>
          <w:p w14:paraId="78C3329A" w14:textId="77777777" w:rsidR="009464EA" w:rsidRDefault="009464EA" w:rsidP="009464EA">
            <w:pPr>
              <w:rPr>
                <w:b w:val="0"/>
                <w:bCs w:val="0"/>
              </w:rPr>
            </w:pPr>
            <w:r>
              <w:lastRenderedPageBreak/>
              <w:t>Customer Clusters</w:t>
            </w:r>
          </w:p>
          <w:p w14:paraId="1869EEE3" w14:textId="73792605" w:rsidR="009464EA" w:rsidRDefault="009464EA" w:rsidP="009464EA">
            <w:r>
              <w:rPr>
                <w:noProof/>
              </w:rPr>
              <w:drawing>
                <wp:inline distT="0" distB="0" distL="0" distR="0" wp14:anchorId="09B47333" wp14:editId="6AB415DC">
                  <wp:extent cx="2961005" cy="2171700"/>
                  <wp:effectExtent l="0" t="0" r="0" b="0"/>
                  <wp:docPr id="1994881304" name="Picture 4" descr="A chart with numbers and dot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4881304" name="Picture 4" descr="A chart with numbers and dots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6632" cy="2197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1" w:type="dxa"/>
            <w:shd w:val="clear" w:color="auto" w:fill="auto"/>
          </w:tcPr>
          <w:p w14:paraId="32FE41DF" w14:textId="19B78AD1" w:rsidR="009464EA" w:rsidRDefault="009464EA" w:rsidP="00946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Cluster 1 generates the highest value; Cluster 0 has potential but low income; Cluster 2 riskier with low credit. </w:t>
            </w:r>
            <w:r w:rsidRPr="00A2386A">
              <w:rPr>
                <w:i/>
                <w:iCs/>
                <w:color w:val="7030A0"/>
              </w:rPr>
              <w:t xml:space="preserve">/ </w:t>
            </w:r>
            <w:r w:rsidRPr="00265972">
              <w:rPr>
                <w:b/>
                <w:bCs/>
                <w:i/>
                <w:iCs/>
                <w:color w:val="7030A0"/>
              </w:rPr>
              <w:t>Phân khúc #1 tạo ra giá trị cao nhất</w:t>
            </w:r>
            <w:r w:rsidRPr="00A2386A">
              <w:rPr>
                <w:i/>
                <w:iCs/>
                <w:color w:val="7030A0"/>
              </w:rPr>
              <w:t xml:space="preserve">; </w:t>
            </w:r>
            <w:r>
              <w:rPr>
                <w:i/>
                <w:iCs/>
                <w:color w:val="7030A0"/>
              </w:rPr>
              <w:t>Phân khúc #</w:t>
            </w:r>
            <w:r w:rsidRPr="00A2386A">
              <w:rPr>
                <w:i/>
                <w:iCs/>
                <w:color w:val="7030A0"/>
              </w:rPr>
              <w:t xml:space="preserve"> 0 có tiềm năng nhưng thu nhập thấp; </w:t>
            </w:r>
            <w:r>
              <w:rPr>
                <w:i/>
                <w:iCs/>
                <w:color w:val="7030A0"/>
              </w:rPr>
              <w:t>Phân khúc</w:t>
            </w:r>
            <w:r w:rsidRPr="00A2386A">
              <w:rPr>
                <w:i/>
                <w:iCs/>
                <w:color w:val="7030A0"/>
              </w:rPr>
              <w:t xml:space="preserve"> </w:t>
            </w:r>
            <w:r>
              <w:rPr>
                <w:i/>
                <w:iCs/>
                <w:color w:val="7030A0"/>
              </w:rPr>
              <w:t>#</w:t>
            </w:r>
            <w:r w:rsidRPr="00A2386A">
              <w:rPr>
                <w:i/>
                <w:iCs/>
                <w:color w:val="7030A0"/>
              </w:rPr>
              <w:t xml:space="preserve">2 rủi ro hơn </w:t>
            </w:r>
            <w:r>
              <w:rPr>
                <w:i/>
                <w:iCs/>
                <w:color w:val="7030A0"/>
              </w:rPr>
              <w:t>do</w:t>
            </w:r>
            <w:r w:rsidRPr="00A2386A">
              <w:rPr>
                <w:i/>
                <w:iCs/>
                <w:color w:val="7030A0"/>
              </w:rPr>
              <w:t xml:space="preserve"> </w:t>
            </w:r>
            <w:r>
              <w:rPr>
                <w:i/>
                <w:iCs/>
                <w:color w:val="7030A0"/>
              </w:rPr>
              <w:t xml:space="preserve">điểm </w:t>
            </w:r>
            <w:r w:rsidRPr="00A2386A">
              <w:rPr>
                <w:i/>
                <w:iCs/>
                <w:color w:val="7030A0"/>
              </w:rPr>
              <w:t>tín dụng thấp.</w:t>
            </w:r>
          </w:p>
        </w:tc>
        <w:tc>
          <w:tcPr>
            <w:tcW w:w="2299" w:type="dxa"/>
            <w:shd w:val="clear" w:color="auto" w:fill="auto"/>
          </w:tcPr>
          <w:p w14:paraId="5F31E5D2" w14:textId="6F582B8C" w:rsidR="009464EA" w:rsidRDefault="009464EA" w:rsidP="00946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Prioritize marketing to Cluster 1, nurture Cluster 0 with affordable products, apply stricter controls + education to Cluster 2. </w:t>
            </w:r>
            <w:r w:rsidRPr="00A2386A">
              <w:rPr>
                <w:i/>
                <w:iCs/>
                <w:color w:val="7030A0"/>
              </w:rPr>
              <w:t xml:space="preserve">/ </w:t>
            </w:r>
            <w:r w:rsidRPr="00265972">
              <w:rPr>
                <w:i/>
                <w:iCs/>
                <w:color w:val="7030A0"/>
              </w:rPr>
              <w:t>Ưu tiên</w:t>
            </w:r>
            <w:r w:rsidRPr="00265972">
              <w:rPr>
                <w:b/>
                <w:bCs/>
                <w:i/>
                <w:iCs/>
                <w:color w:val="7030A0"/>
              </w:rPr>
              <w:t xml:space="preserve"> tiếp thị Phân khúc #1</w:t>
            </w:r>
            <w:r w:rsidRPr="00A2386A">
              <w:rPr>
                <w:i/>
                <w:iCs/>
                <w:color w:val="7030A0"/>
              </w:rPr>
              <w:t xml:space="preserve">, </w:t>
            </w:r>
            <w:r w:rsidRPr="00265972">
              <w:rPr>
                <w:i/>
                <w:iCs/>
                <w:color w:val="7030A0"/>
              </w:rPr>
              <w:t>nuôi dưỡng</w:t>
            </w:r>
            <w:r w:rsidRPr="00265972">
              <w:rPr>
                <w:b/>
                <w:bCs/>
                <w:i/>
                <w:iCs/>
                <w:color w:val="7030A0"/>
              </w:rPr>
              <w:t xml:space="preserve"> Phân khúc #0 </w:t>
            </w:r>
            <w:r w:rsidR="00265972">
              <w:rPr>
                <w:b/>
                <w:bCs/>
                <w:i/>
                <w:iCs/>
                <w:color w:val="7030A0"/>
              </w:rPr>
              <w:t>với</w:t>
            </w:r>
            <w:r w:rsidRPr="00265972">
              <w:rPr>
                <w:b/>
                <w:bCs/>
                <w:i/>
                <w:iCs/>
                <w:color w:val="7030A0"/>
              </w:rPr>
              <w:t xml:space="preserve"> các sản phẩm giá rẻ</w:t>
            </w:r>
            <w:r w:rsidRPr="00A2386A">
              <w:rPr>
                <w:i/>
                <w:iCs/>
                <w:color w:val="7030A0"/>
              </w:rPr>
              <w:t xml:space="preserve">, áp dụng biện pháp </w:t>
            </w:r>
            <w:r w:rsidRPr="00265972">
              <w:rPr>
                <w:b/>
                <w:bCs/>
                <w:i/>
                <w:iCs/>
                <w:color w:val="7030A0"/>
              </w:rPr>
              <w:t>kiểm soát</w:t>
            </w:r>
            <w:r w:rsidRPr="00A2386A">
              <w:rPr>
                <w:i/>
                <w:iCs/>
                <w:color w:val="7030A0"/>
              </w:rPr>
              <w:t xml:space="preserve"> chặt chẽ hơn + giáo </w:t>
            </w:r>
            <w:r w:rsidRPr="00265972">
              <w:rPr>
                <w:b/>
                <w:bCs/>
                <w:i/>
                <w:iCs/>
                <w:color w:val="7030A0"/>
              </w:rPr>
              <w:t>dục</w:t>
            </w:r>
            <w:r w:rsidR="00265972">
              <w:rPr>
                <w:b/>
                <w:bCs/>
                <w:i/>
                <w:iCs/>
                <w:color w:val="7030A0"/>
              </w:rPr>
              <w:t xml:space="preserve"> cho</w:t>
            </w:r>
            <w:r w:rsidRPr="00265972">
              <w:rPr>
                <w:b/>
                <w:bCs/>
                <w:i/>
                <w:iCs/>
                <w:color w:val="7030A0"/>
              </w:rPr>
              <w:t xml:space="preserve"> Phân khúc #2</w:t>
            </w:r>
            <w:r w:rsidRPr="00A2386A">
              <w:rPr>
                <w:i/>
                <w:iCs/>
                <w:color w:val="7030A0"/>
              </w:rPr>
              <w:t>.</w:t>
            </w:r>
          </w:p>
        </w:tc>
      </w:tr>
    </w:tbl>
    <w:p w14:paraId="7FF6BF3D" w14:textId="77777777" w:rsidR="00BE2602" w:rsidRDefault="00BE2602"/>
    <w:sectPr w:rsidR="00BE2602" w:rsidSect="009464EA">
      <w:pgSz w:w="11906" w:h="16838" w:code="9"/>
      <w:pgMar w:top="72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792629">
    <w:abstractNumId w:val="8"/>
  </w:num>
  <w:num w:numId="2" w16cid:durableId="302858433">
    <w:abstractNumId w:val="6"/>
  </w:num>
  <w:num w:numId="3" w16cid:durableId="164901149">
    <w:abstractNumId w:val="5"/>
  </w:num>
  <w:num w:numId="4" w16cid:durableId="1865241460">
    <w:abstractNumId w:val="4"/>
  </w:num>
  <w:num w:numId="5" w16cid:durableId="795761650">
    <w:abstractNumId w:val="7"/>
  </w:num>
  <w:num w:numId="6" w16cid:durableId="1158153725">
    <w:abstractNumId w:val="3"/>
  </w:num>
  <w:num w:numId="7" w16cid:durableId="1702240351">
    <w:abstractNumId w:val="2"/>
  </w:num>
  <w:num w:numId="8" w16cid:durableId="1976055965">
    <w:abstractNumId w:val="1"/>
  </w:num>
  <w:num w:numId="9" w16cid:durableId="741754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5972"/>
    <w:rsid w:val="0029639D"/>
    <w:rsid w:val="00326F90"/>
    <w:rsid w:val="003B3919"/>
    <w:rsid w:val="004E390A"/>
    <w:rsid w:val="006E3DBD"/>
    <w:rsid w:val="00942267"/>
    <w:rsid w:val="009464EA"/>
    <w:rsid w:val="00A2386A"/>
    <w:rsid w:val="00AA1D8D"/>
    <w:rsid w:val="00B47730"/>
    <w:rsid w:val="00BE2602"/>
    <w:rsid w:val="00CB0664"/>
    <w:rsid w:val="00F067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07689C"/>
  <w14:defaultImageDpi w14:val="300"/>
  <w15:docId w15:val="{572C1154-557F-45F0-B07C-390BB25A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Jiro Tran</cp:lastModifiedBy>
  <cp:revision>4</cp:revision>
  <dcterms:created xsi:type="dcterms:W3CDTF">2013-12-23T23:15:00Z</dcterms:created>
  <dcterms:modified xsi:type="dcterms:W3CDTF">2025-08-15T08:48:00Z</dcterms:modified>
  <cp:category/>
</cp:coreProperties>
</file>