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37A6C6" w14:textId="43D16411" w:rsidR="00F425BB" w:rsidRPr="00877D45" w:rsidRDefault="00F425BB" w:rsidP="002F3D12">
      <w:pPr>
        <w:spacing w:after="0" w:line="480" w:lineRule="auto"/>
        <w:jc w:val="center"/>
        <w:rPr>
          <w:rFonts w:cs="Times New Roman"/>
          <w:b/>
        </w:rPr>
      </w:pPr>
      <w:r w:rsidRPr="00877D45">
        <w:rPr>
          <w:rFonts w:cs="Times New Roman"/>
          <w:b/>
        </w:rPr>
        <w:t xml:space="preserve">Work-From-Home and </w:t>
      </w:r>
      <w:r w:rsidR="00AA7FB3" w:rsidRPr="00877D45">
        <w:rPr>
          <w:rFonts w:cs="Times New Roman"/>
          <w:b/>
        </w:rPr>
        <w:t>Metropolitan</w:t>
      </w:r>
      <w:r w:rsidRPr="00877D45">
        <w:rPr>
          <w:rFonts w:cs="Times New Roman"/>
          <w:b/>
        </w:rPr>
        <w:t xml:space="preserve"> Housing Deflation in California</w:t>
      </w:r>
    </w:p>
    <w:p w14:paraId="3887F579" w14:textId="512F5484" w:rsidR="00F425BB" w:rsidRPr="00877D45" w:rsidRDefault="00F21FDB" w:rsidP="00F425BB">
      <w:pPr>
        <w:pStyle w:val="ListParagraph"/>
        <w:spacing w:after="0" w:line="480" w:lineRule="auto"/>
        <w:jc w:val="center"/>
        <w:rPr>
          <w:rFonts w:cs="Times New Roman"/>
        </w:rPr>
      </w:pPr>
      <w:r w:rsidRPr="00877D45">
        <w:rPr>
          <w:rFonts w:cs="Times New Roman"/>
        </w:rPr>
        <w:t>Tuan Truong</w:t>
      </w:r>
    </w:p>
    <w:p w14:paraId="2B6BB3A6" w14:textId="500683C7" w:rsidR="00F21FDB" w:rsidRPr="00877D45" w:rsidRDefault="00F21FDB" w:rsidP="00F425BB">
      <w:pPr>
        <w:pStyle w:val="ListParagraph"/>
        <w:spacing w:after="0" w:line="480" w:lineRule="auto"/>
        <w:jc w:val="center"/>
        <w:rPr>
          <w:rFonts w:cs="Times New Roman"/>
        </w:rPr>
      </w:pPr>
      <w:r w:rsidRPr="00877D45">
        <w:rPr>
          <w:rFonts w:cs="Times New Roman"/>
        </w:rPr>
        <w:t>University of San Francisco – ECON 692</w:t>
      </w:r>
    </w:p>
    <w:p w14:paraId="305B7C1C" w14:textId="7B647DB5" w:rsidR="00F21FDB" w:rsidRPr="00877D45" w:rsidRDefault="00F21FDB" w:rsidP="00F425BB">
      <w:pPr>
        <w:pStyle w:val="ListParagraph"/>
        <w:spacing w:after="0" w:line="480" w:lineRule="auto"/>
        <w:jc w:val="center"/>
        <w:rPr>
          <w:rFonts w:cs="Times New Roman"/>
        </w:rPr>
      </w:pPr>
      <w:r w:rsidRPr="00877D45">
        <w:rPr>
          <w:rFonts w:cs="Times New Roman"/>
        </w:rPr>
        <w:t>May 2026</w:t>
      </w:r>
    </w:p>
    <w:p w14:paraId="440F1F6C" w14:textId="77777777" w:rsidR="00F21FDB" w:rsidRPr="00877D45" w:rsidRDefault="00F21FDB" w:rsidP="00F425BB">
      <w:pPr>
        <w:pStyle w:val="ListParagraph"/>
        <w:spacing w:after="0" w:line="480" w:lineRule="auto"/>
        <w:jc w:val="center"/>
        <w:rPr>
          <w:rFonts w:cs="Times New Roman"/>
        </w:rPr>
      </w:pPr>
    </w:p>
    <w:p w14:paraId="7D69B571" w14:textId="6FD747B6" w:rsidR="00F21FDB" w:rsidRPr="00877D45" w:rsidRDefault="00F21FDB" w:rsidP="00F425BB">
      <w:pPr>
        <w:pStyle w:val="ListParagraph"/>
        <w:spacing w:after="0" w:line="480" w:lineRule="auto"/>
        <w:jc w:val="center"/>
        <w:rPr>
          <w:rFonts w:cs="Times New Roman"/>
          <w:b/>
          <w:bCs/>
        </w:rPr>
      </w:pPr>
      <w:r w:rsidRPr="00877D45">
        <w:rPr>
          <w:rFonts w:cs="Times New Roman"/>
          <w:b/>
          <w:bCs/>
        </w:rPr>
        <w:t>Abstract</w:t>
      </w:r>
    </w:p>
    <w:p w14:paraId="27FB51B8" w14:textId="0256D5AF" w:rsidR="00F21FDB" w:rsidRPr="00877D45" w:rsidRDefault="00877D45" w:rsidP="00877D45">
      <w:pPr>
        <w:pStyle w:val="ListParagraph"/>
        <w:spacing w:after="0" w:line="480" w:lineRule="auto"/>
        <w:rPr>
          <w:rFonts w:cs="Times New Roman"/>
        </w:rPr>
      </w:pPr>
      <w:r w:rsidRPr="00877D45">
        <w:rPr>
          <w:rFonts w:cs="Times New Roman"/>
        </w:rPr>
        <w:t xml:space="preserve">This paper estimates the causal effect of work-from-home (WFH) adoption on housing prices across California counties from 2017 to 2023. Using a two-way fixed effects panel model with county and year fixed effects, I find that a one-percentage-point increase in the WFH rate is associated with a 1.23% decrease in housing prices within metropolitan counties in California. A dynamic event-study specification confirms that the effect remains negative from 2020 through 2023. Supply constraints amplify the impact: counties in the top half of the pre-period price-to-income distribution experience a −1.20% decline in housing prices per percentage-point increase in WFH, nearly three times larger than the −0.40% estimate observed in supply-elastic counties. However, the de </w:t>
      </w:r>
      <w:proofErr w:type="spellStart"/>
      <w:r w:rsidRPr="00877D45">
        <w:rPr>
          <w:rFonts w:cs="Times New Roman"/>
        </w:rPr>
        <w:t>Chaisemartin</w:t>
      </w:r>
      <w:proofErr w:type="spellEnd"/>
      <w:r w:rsidRPr="00877D45">
        <w:rPr>
          <w:rFonts w:cs="Times New Roman"/>
        </w:rPr>
        <w:t xml:space="preserve"> and </w:t>
      </w:r>
      <w:proofErr w:type="spellStart"/>
      <w:r w:rsidRPr="00877D45">
        <w:rPr>
          <w:rFonts w:cs="Times New Roman"/>
        </w:rPr>
        <w:t>D’Haultfœuille</w:t>
      </w:r>
      <w:proofErr w:type="spellEnd"/>
      <w:r w:rsidRPr="00877D45">
        <w:rPr>
          <w:rFonts w:cs="Times New Roman"/>
        </w:rPr>
        <w:t xml:space="preserve"> (2024) weighted average slope estimator produces a statistically insignificant estimate (+1.20%, p = 0.79), suggesting caution when extrapolating the TWFE results across all counties. Overall, the findings suggest that the rise of remote work has contributed to modest but growing housing deflation in California’s metropolitan cores, particularly in supply-constrained coastal markets.</w:t>
      </w:r>
    </w:p>
    <w:p w14:paraId="1CE68973" w14:textId="77777777" w:rsidR="00877D45" w:rsidRPr="00877D45" w:rsidRDefault="00877D45" w:rsidP="00877D45">
      <w:pPr>
        <w:pStyle w:val="ListParagraph"/>
        <w:spacing w:after="0" w:line="480" w:lineRule="auto"/>
        <w:rPr>
          <w:rFonts w:cs="Times New Roman"/>
        </w:rPr>
      </w:pPr>
    </w:p>
    <w:p w14:paraId="03E718A6" w14:textId="77777777" w:rsidR="00877D45" w:rsidRPr="00877D45" w:rsidRDefault="00877D45" w:rsidP="00877D45">
      <w:pPr>
        <w:pStyle w:val="ListParagraph"/>
        <w:spacing w:after="0" w:line="480" w:lineRule="auto"/>
        <w:rPr>
          <w:rFonts w:cs="Times New Roman"/>
        </w:rPr>
      </w:pPr>
    </w:p>
    <w:p w14:paraId="44CD7A59" w14:textId="77777777" w:rsidR="00877D45" w:rsidRPr="00877D45" w:rsidRDefault="00877D45" w:rsidP="00877D45">
      <w:pPr>
        <w:pStyle w:val="ListParagraph"/>
        <w:spacing w:after="0" w:line="480" w:lineRule="auto"/>
        <w:rPr>
          <w:rFonts w:cs="Times New Roman"/>
        </w:rPr>
      </w:pPr>
    </w:p>
    <w:p w14:paraId="26ABF864" w14:textId="36E88C67" w:rsidR="00702814" w:rsidRPr="00877D45" w:rsidRDefault="00000000" w:rsidP="00F425BB">
      <w:pPr>
        <w:pStyle w:val="ListParagraph"/>
        <w:numPr>
          <w:ilvl w:val="0"/>
          <w:numId w:val="11"/>
        </w:numPr>
        <w:spacing w:after="0" w:line="480" w:lineRule="auto"/>
        <w:rPr>
          <w:rFonts w:cs="Times New Roman"/>
        </w:rPr>
      </w:pPr>
      <w:r w:rsidRPr="00877D45">
        <w:rPr>
          <w:rFonts w:cs="Times New Roman"/>
          <w:b/>
        </w:rPr>
        <w:lastRenderedPageBreak/>
        <w:t>Introduction</w:t>
      </w:r>
    </w:p>
    <w:p w14:paraId="2E64ECF8" w14:textId="3709055A" w:rsidR="00702814" w:rsidRPr="00877D45" w:rsidRDefault="00000000">
      <w:pPr>
        <w:spacing w:after="0" w:line="480" w:lineRule="auto"/>
        <w:ind w:firstLine="720"/>
        <w:rPr>
          <w:rFonts w:cs="Times New Roman"/>
        </w:rPr>
      </w:pPr>
      <w:r w:rsidRPr="00877D45">
        <w:rPr>
          <w:rFonts w:cs="Times New Roman"/>
        </w:rPr>
        <w:t xml:space="preserve">Remote work has become a controversial topic worldwide especially </w:t>
      </w:r>
      <w:r w:rsidR="009B66B3" w:rsidRPr="00877D45">
        <w:rPr>
          <w:rFonts w:cs="Times New Roman"/>
        </w:rPr>
        <w:t>since the</w:t>
      </w:r>
      <w:r w:rsidR="00E9344B" w:rsidRPr="00877D45">
        <w:rPr>
          <w:rFonts w:cs="Times New Roman"/>
        </w:rPr>
        <w:t xml:space="preserve"> onset of</w:t>
      </w:r>
      <w:r w:rsidRPr="00877D45">
        <w:rPr>
          <w:rFonts w:cs="Times New Roman"/>
        </w:rPr>
        <w:t xml:space="preserve"> </w:t>
      </w:r>
      <w:r w:rsidR="00E9344B" w:rsidRPr="00877D45">
        <w:rPr>
          <w:rFonts w:cs="Times New Roman"/>
        </w:rPr>
        <w:t>pandemic.</w:t>
      </w:r>
      <w:r w:rsidRPr="00877D45">
        <w:rPr>
          <w:rFonts w:cs="Times New Roman"/>
        </w:rPr>
        <w:t xml:space="preserve"> According to A. Mondragon</w:t>
      </w:r>
      <w:r w:rsidR="0098012B" w:rsidRPr="00877D45">
        <w:rPr>
          <w:rFonts w:cs="Times New Roman"/>
        </w:rPr>
        <w:t xml:space="preserve"> and Wieland (2022)</w:t>
      </w:r>
      <w:r w:rsidR="00A71A76">
        <w:rPr>
          <w:rFonts w:cs="Times New Roman"/>
        </w:rPr>
        <w:t xml:space="preserve"> and </w:t>
      </w:r>
      <w:r w:rsidR="00A71A76" w:rsidRPr="00A71A76">
        <w:rPr>
          <w:rFonts w:cs="Times New Roman"/>
        </w:rPr>
        <w:t>Angrist &amp; Pischke (2009)</w:t>
      </w:r>
      <w:r w:rsidRPr="00877D45">
        <w:rPr>
          <w:rFonts w:cs="Times New Roman"/>
        </w:rPr>
        <w:t xml:space="preserve">, the </w:t>
      </w:r>
      <w:r w:rsidR="0098012B" w:rsidRPr="00877D45">
        <w:rPr>
          <w:rFonts w:cs="Times New Roman"/>
        </w:rPr>
        <w:t>share</w:t>
      </w:r>
      <w:r w:rsidRPr="00877D45">
        <w:rPr>
          <w:rFonts w:cs="Times New Roman"/>
        </w:rPr>
        <w:t xml:space="preserve"> of</w:t>
      </w:r>
      <w:r w:rsidR="0098012B" w:rsidRPr="00877D45">
        <w:rPr>
          <w:rFonts w:cs="Times New Roman"/>
        </w:rPr>
        <w:t xml:space="preserve"> U.S workers primarily</w:t>
      </w:r>
      <w:r w:rsidRPr="00877D45">
        <w:rPr>
          <w:rFonts w:cs="Times New Roman"/>
        </w:rPr>
        <w:t xml:space="preserve"> work</w:t>
      </w:r>
      <w:r w:rsidR="0098012B" w:rsidRPr="00877D45">
        <w:rPr>
          <w:rFonts w:cs="Times New Roman"/>
        </w:rPr>
        <w:t>ing</w:t>
      </w:r>
      <w:r w:rsidRPr="00877D45">
        <w:rPr>
          <w:rFonts w:cs="Times New Roman"/>
        </w:rPr>
        <w:t xml:space="preserve"> from home</w:t>
      </w:r>
      <w:r w:rsidR="0098012B" w:rsidRPr="00877D45">
        <w:rPr>
          <w:rFonts w:cs="Times New Roman"/>
        </w:rPr>
        <w:t xml:space="preserve"> rose from approximately 7% in 2019 to about 30% in 2021, before stabilizing </w:t>
      </w:r>
      <w:proofErr w:type="gramStart"/>
      <w:r w:rsidR="0098012B" w:rsidRPr="00877D45">
        <w:rPr>
          <w:rFonts w:cs="Times New Roman"/>
        </w:rPr>
        <w:t>near</w:t>
      </w:r>
      <w:proofErr w:type="gramEnd"/>
      <w:r w:rsidR="0098012B" w:rsidRPr="00877D45">
        <w:rPr>
          <w:rFonts w:cs="Times New Roman"/>
        </w:rPr>
        <w:t xml:space="preserve"> 20% through 202</w:t>
      </w:r>
      <w:r w:rsidR="00DB3FEB">
        <w:rPr>
          <w:rFonts w:cs="Times New Roman"/>
        </w:rPr>
        <w:t>3</w:t>
      </w:r>
      <w:r w:rsidRPr="00877D45">
        <w:rPr>
          <w:rFonts w:cs="Times New Roman"/>
        </w:rPr>
        <w:t>.  In recent years, major tech companies such as Google, Tesla, and Apple have increasingly pushed employees to return to in-person work arrangements. However, million</w:t>
      </w:r>
      <w:r w:rsidR="007A4ABF" w:rsidRPr="00877D45">
        <w:rPr>
          <w:rFonts w:cs="Times New Roman"/>
        </w:rPr>
        <w:t>s</w:t>
      </w:r>
      <w:r w:rsidRPr="00877D45">
        <w:rPr>
          <w:rFonts w:cs="Times New Roman"/>
        </w:rPr>
        <w:t xml:space="preserve"> of workers prefer remote work, as it reduces commuting costs, increases flexibility and </w:t>
      </w:r>
      <w:r w:rsidR="007A4ABF" w:rsidRPr="00877D45">
        <w:rPr>
          <w:rFonts w:cs="Times New Roman"/>
        </w:rPr>
        <w:t>improves</w:t>
      </w:r>
      <w:r w:rsidRPr="00877D45">
        <w:rPr>
          <w:rFonts w:cs="Times New Roman"/>
        </w:rPr>
        <w:t xml:space="preserve"> their work life balance. The tension between employer preferences and employee expectations has not</w:t>
      </w:r>
      <w:r w:rsidR="00803D52" w:rsidRPr="00877D45">
        <w:rPr>
          <w:rFonts w:cs="Times New Roman"/>
        </w:rPr>
        <w:t xml:space="preserve"> just</w:t>
      </w:r>
      <w:r w:rsidRPr="00877D45">
        <w:rPr>
          <w:rFonts w:cs="Times New Roman"/>
        </w:rPr>
        <w:t xml:space="preserve"> reshaped the nature of work, it has profoundly altered where people choose to live. </w:t>
      </w:r>
    </w:p>
    <w:p w14:paraId="70E3BB5C" w14:textId="35E1E579" w:rsidR="00702814" w:rsidRPr="00877D45" w:rsidRDefault="00000000">
      <w:pPr>
        <w:spacing w:after="0" w:line="480" w:lineRule="auto"/>
        <w:ind w:firstLine="720"/>
        <w:rPr>
          <w:rFonts w:cs="Times New Roman"/>
        </w:rPr>
      </w:pPr>
      <w:r w:rsidRPr="00877D45">
        <w:rPr>
          <w:rFonts w:cs="Times New Roman"/>
        </w:rPr>
        <w:t xml:space="preserve"> As a result, workers who can work from home may be more likely to remain in their current locations or choose to purchase homes far from urban areas, since daily commuting is no longer a major concern. Standard urban economics theory predicts that reduced commuting costs should flatten the bid-rent gradient, lowering prices in central locations and raising them in the periphery (Albouy and Stuart 2020; Brueckner, Thisse, and Zenou 1999). Yet the empirical literature has reached mixed conclusions. Some studies find large positive aggregate effects of WFH on housing prices (Gupta et al. 2022; Liu and Su 2021), while others document heterogeneous effects across urban and suburban areas consistent with within-metro redistribution (Ramani and Bloom 2021; Davis, Ghent, and Gregory 2023). These shifts in residential preferences </w:t>
      </w:r>
      <w:r w:rsidR="00DB361A">
        <w:rPr>
          <w:rFonts w:cs="Times New Roman"/>
        </w:rPr>
        <w:t>are</w:t>
      </w:r>
      <w:r w:rsidRPr="00877D45">
        <w:rPr>
          <w:rFonts w:cs="Times New Roman"/>
        </w:rPr>
        <w:t xml:space="preserve"> expected to change housing demand and lead to fluctuations in housing prices across California. Motivated by these trends, I estimate the causal impact of work-from-home adoption on </w:t>
      </w:r>
      <w:r w:rsidR="00F971C0">
        <w:rPr>
          <w:rFonts w:cs="Times New Roman"/>
        </w:rPr>
        <w:t>housing prices in California, especially in metropolitan counties.</w:t>
      </w:r>
    </w:p>
    <w:p w14:paraId="6B97AD62" w14:textId="3E8CB252" w:rsidR="00702814" w:rsidRPr="00877D45" w:rsidRDefault="00000000">
      <w:pPr>
        <w:spacing w:after="0" w:line="480" w:lineRule="auto"/>
        <w:ind w:firstLine="720"/>
        <w:rPr>
          <w:rFonts w:cs="Times New Roman"/>
        </w:rPr>
      </w:pPr>
      <w:r w:rsidRPr="00877D45">
        <w:rPr>
          <w:rFonts w:cs="Times New Roman"/>
        </w:rPr>
        <w:lastRenderedPageBreak/>
        <w:t>My study makes t</w:t>
      </w:r>
      <w:r w:rsidR="004D17AF" w:rsidRPr="00877D45">
        <w:rPr>
          <w:rFonts w:cs="Times New Roman"/>
        </w:rPr>
        <w:t xml:space="preserve">wo </w:t>
      </w:r>
      <w:r w:rsidRPr="00877D45">
        <w:rPr>
          <w:rFonts w:cs="Times New Roman"/>
        </w:rPr>
        <w:t xml:space="preserve">contributions. First, I estimate the causal effect of WFH on housing prices in </w:t>
      </w:r>
      <w:r w:rsidR="0098012B" w:rsidRPr="00877D45">
        <w:rPr>
          <w:rFonts w:cs="Times New Roman"/>
        </w:rPr>
        <w:t>M</w:t>
      </w:r>
      <w:r w:rsidRPr="00877D45">
        <w:rPr>
          <w:rFonts w:cs="Times New Roman"/>
        </w:rPr>
        <w:t xml:space="preserve">etropolitan </w:t>
      </w:r>
      <w:r w:rsidR="0098012B" w:rsidRPr="00877D45">
        <w:rPr>
          <w:rFonts w:cs="Times New Roman"/>
        </w:rPr>
        <w:t>C</w:t>
      </w:r>
      <w:r w:rsidRPr="00877D45">
        <w:rPr>
          <w:rFonts w:cs="Times New Roman"/>
        </w:rPr>
        <w:t xml:space="preserve">ore counties using OMB CBSA classifications and </w:t>
      </w:r>
      <w:r w:rsidR="0098012B" w:rsidRPr="00877D45">
        <w:rPr>
          <w:rFonts w:cs="Times New Roman"/>
        </w:rPr>
        <w:t xml:space="preserve">dynamic TWFE event-study </w:t>
      </w:r>
      <w:proofErr w:type="gramStart"/>
      <w:r w:rsidR="0098012B" w:rsidRPr="00877D45">
        <w:rPr>
          <w:rFonts w:cs="Times New Roman"/>
        </w:rPr>
        <w:t>specification</w:t>
      </w:r>
      <w:proofErr w:type="gramEnd"/>
      <w:r w:rsidR="0098012B" w:rsidRPr="00877D45">
        <w:rPr>
          <w:rFonts w:cs="Times New Roman"/>
        </w:rPr>
        <w:t xml:space="preserve"> that formally test parallel pre-trends. I </w:t>
      </w:r>
      <w:r w:rsidRPr="00877D45">
        <w:rPr>
          <w:rFonts w:cs="Times New Roman"/>
        </w:rPr>
        <w:t>find that a one</w:t>
      </w:r>
      <w:r w:rsidR="0098012B" w:rsidRPr="00877D45">
        <w:rPr>
          <w:rFonts w:cs="Times New Roman"/>
        </w:rPr>
        <w:t>-</w:t>
      </w:r>
      <w:r w:rsidRPr="00877D45">
        <w:rPr>
          <w:rFonts w:cs="Times New Roman"/>
        </w:rPr>
        <w:t>percentage</w:t>
      </w:r>
      <w:r w:rsidR="0098012B" w:rsidRPr="00877D45">
        <w:rPr>
          <w:rFonts w:cs="Times New Roman"/>
        </w:rPr>
        <w:t>-</w:t>
      </w:r>
      <w:r w:rsidRPr="00877D45">
        <w:rPr>
          <w:rFonts w:cs="Times New Roman"/>
        </w:rPr>
        <w:t>point</w:t>
      </w:r>
      <w:r w:rsidR="0098012B" w:rsidRPr="00877D45">
        <w:rPr>
          <w:rFonts w:cs="Times New Roman"/>
        </w:rPr>
        <w:t xml:space="preserve"> increase in Work </w:t>
      </w:r>
      <w:proofErr w:type="gramStart"/>
      <w:r w:rsidR="0098012B" w:rsidRPr="00877D45">
        <w:rPr>
          <w:rFonts w:cs="Times New Roman"/>
        </w:rPr>
        <w:t>From</w:t>
      </w:r>
      <w:proofErr w:type="gramEnd"/>
      <w:r w:rsidR="0098012B" w:rsidRPr="00877D45">
        <w:rPr>
          <w:rFonts w:cs="Times New Roman"/>
        </w:rPr>
        <w:t xml:space="preserve"> Home (WFH) rate is associated with a 1.23% decline in median home price in Metropolitan cores</w:t>
      </w:r>
      <w:r w:rsidRPr="00877D45">
        <w:rPr>
          <w:rFonts w:cs="Times New Roman"/>
        </w:rPr>
        <w:t>. Second, I show that supply constraints amplify deflation: metro-core counties in the top half of pre-period price-to-income ratios experienced WFH price declines of -1.19% versus -0</w:t>
      </w:r>
      <w:r w:rsidR="0098012B" w:rsidRPr="00877D45">
        <w:rPr>
          <w:rFonts w:cs="Times New Roman"/>
        </w:rPr>
        <w:t>.4</w:t>
      </w:r>
      <w:r w:rsidRPr="00877D45">
        <w:rPr>
          <w:rFonts w:cs="Times New Roman"/>
        </w:rPr>
        <w:t xml:space="preserve">% in elastic counties, consistent with Saiz (2010) and Glaeser and Gyourko (2018). </w:t>
      </w:r>
    </w:p>
    <w:p w14:paraId="34E37746" w14:textId="1CB1F706" w:rsidR="00702814" w:rsidRPr="00877D45" w:rsidRDefault="00000000">
      <w:pPr>
        <w:spacing w:after="0" w:line="480" w:lineRule="auto"/>
        <w:ind w:firstLine="720"/>
        <w:rPr>
          <w:rFonts w:cs="Times New Roman"/>
        </w:rPr>
      </w:pPr>
      <w:r w:rsidRPr="00877D45">
        <w:rPr>
          <w:rFonts w:cs="Times New Roman"/>
        </w:rPr>
        <w:t>The rest of paper is organized as follows. Section 2 describes data. Section 3 presents empirical strategy. Section 4 reports results. Section 5 reports robustness check</w:t>
      </w:r>
      <w:r w:rsidR="00B34879" w:rsidRPr="00877D45">
        <w:rPr>
          <w:rFonts w:cs="Times New Roman"/>
        </w:rPr>
        <w:t>s</w:t>
      </w:r>
      <w:r w:rsidRPr="00877D45">
        <w:rPr>
          <w:rFonts w:cs="Times New Roman"/>
        </w:rPr>
        <w:t xml:space="preserve">. Section 6 discusses about limitations. Section 7 presents conclusion. </w:t>
      </w:r>
    </w:p>
    <w:p w14:paraId="156376D9" w14:textId="1107B7E2" w:rsidR="00702814" w:rsidRPr="00877D45" w:rsidRDefault="00000000" w:rsidP="00F425BB">
      <w:pPr>
        <w:pStyle w:val="ListParagraph"/>
        <w:numPr>
          <w:ilvl w:val="0"/>
          <w:numId w:val="11"/>
        </w:numPr>
        <w:spacing w:after="0" w:line="480" w:lineRule="auto"/>
        <w:rPr>
          <w:rFonts w:cs="Times New Roman"/>
        </w:rPr>
      </w:pPr>
      <w:r w:rsidRPr="00877D45">
        <w:rPr>
          <w:rFonts w:cs="Times New Roman"/>
          <w:b/>
        </w:rPr>
        <w:t>Data</w:t>
      </w:r>
    </w:p>
    <w:p w14:paraId="23D32213" w14:textId="4707EF44" w:rsidR="00702814" w:rsidRPr="00877D45" w:rsidRDefault="00000000">
      <w:pPr>
        <w:spacing w:after="0" w:line="480" w:lineRule="auto"/>
        <w:ind w:firstLine="720"/>
        <w:rPr>
          <w:rFonts w:cs="Times New Roman"/>
        </w:rPr>
      </w:pPr>
      <w:r w:rsidRPr="00877D45">
        <w:rPr>
          <w:rFonts w:cs="Times New Roman"/>
        </w:rPr>
        <w:t>This research combines data from multiple sources to identify the causal effects of working from home on housing prices across California</w:t>
      </w:r>
      <w:r w:rsidR="00AD55DD" w:rsidRPr="00877D45">
        <w:rPr>
          <w:rFonts w:cs="Times New Roman"/>
        </w:rPr>
        <w:t xml:space="preserve"> counties</w:t>
      </w:r>
      <w:r w:rsidRPr="00877D45">
        <w:rPr>
          <w:rFonts w:cs="Times New Roman"/>
        </w:rPr>
        <w:t xml:space="preserve"> from 2017 to 2023. Housing price datasets were obtained from Zillow’s County Home Value Index (ZHVI), which provides annual estimates of median house values. The housing prices are expressed in log form. WFH rates at the county level are constructed from the American Community Survey (ACS) 5-year estimates via IPUMS. The variable "means of transportation to work = worked from home" captures the share of employed residents who primarily work from home. Additional controls include: median household income (ACS), unemployment rate (BLS local area unemployment statistics), population (ACS), and number of housing units (ACS). The mortgage rate (Freddie Mac Primary Mortgage Market Survey) is included at the national level to control for credit conditions. Counties are classified using the 2023 OMB Core-Based Statistical Area </w:t>
      </w:r>
      <w:r w:rsidRPr="00877D45">
        <w:rPr>
          <w:rFonts w:cs="Times New Roman"/>
        </w:rPr>
        <w:lastRenderedPageBreak/>
        <w:t>delineations. The main analysis uses Metro-Core counties (33 x 7 = 231 observations). Non-metropolitan counties (Micropolitan + Noncore, 21 counties) serve as the comparison group for the demand outflow test. The CBSA designation is designed at the county level and reflects commuting-based economic integration, the mechanism through which WFH affects housing markets and requires no aggregation assumptions.</w:t>
      </w:r>
    </w:p>
    <w:p w14:paraId="0FA49321" w14:textId="40D58CB6" w:rsidR="00702814" w:rsidRPr="00877D45" w:rsidRDefault="00000000" w:rsidP="009008CB">
      <w:pPr>
        <w:spacing w:after="0" w:line="480" w:lineRule="auto"/>
        <w:ind w:firstLine="720"/>
        <w:rPr>
          <w:rFonts w:cs="Times New Roman"/>
        </w:rPr>
      </w:pPr>
      <w:r w:rsidRPr="00877D45">
        <w:rPr>
          <w:rFonts w:cs="Times New Roman"/>
        </w:rPr>
        <w:t>Based on the Table 1: Summary Statistic, the dataset contains 406 observations from 2017 to 2023. The average of log housing price is 12.</w:t>
      </w:r>
      <w:r w:rsidR="00542ADC" w:rsidRPr="00877D45">
        <w:rPr>
          <w:rFonts w:cs="Times New Roman"/>
        </w:rPr>
        <w:t>8</w:t>
      </w:r>
      <w:r w:rsidRPr="00877D45">
        <w:rPr>
          <w:rFonts w:cs="Times New Roman"/>
        </w:rPr>
        <w:t>97 with standard deviation of 0.</w:t>
      </w:r>
      <w:r w:rsidR="00E6472C" w:rsidRPr="00877D45">
        <w:rPr>
          <w:rFonts w:cs="Times New Roman"/>
        </w:rPr>
        <w:t>747</w:t>
      </w:r>
      <w:r w:rsidRPr="00877D45">
        <w:rPr>
          <w:rFonts w:cs="Times New Roman"/>
        </w:rPr>
        <w:t xml:space="preserve"> indicating </w:t>
      </w:r>
      <w:r w:rsidR="009C60E7" w:rsidRPr="00877D45">
        <w:rPr>
          <w:rFonts w:cs="Times New Roman"/>
        </w:rPr>
        <w:t>fluctuation</w:t>
      </w:r>
      <w:r w:rsidRPr="00877D45">
        <w:rPr>
          <w:rFonts w:cs="Times New Roman"/>
        </w:rPr>
        <w:t xml:space="preserve"> across</w:t>
      </w:r>
      <w:r w:rsidR="00AD55DD" w:rsidRPr="00877D45">
        <w:rPr>
          <w:rFonts w:cs="Times New Roman"/>
        </w:rPr>
        <w:t xml:space="preserve"> California counties</w:t>
      </w:r>
      <w:r w:rsidRPr="00877D45">
        <w:rPr>
          <w:rFonts w:cs="Times New Roman"/>
        </w:rPr>
        <w:t xml:space="preserve">. The </w:t>
      </w:r>
      <w:r w:rsidR="00AD55DD" w:rsidRPr="00877D45">
        <w:rPr>
          <w:rFonts w:cs="Times New Roman"/>
        </w:rPr>
        <w:t>average</w:t>
      </w:r>
      <w:r w:rsidRPr="00877D45">
        <w:rPr>
          <w:rFonts w:cs="Times New Roman"/>
        </w:rPr>
        <w:t xml:space="preserve"> working from home is 9.</w:t>
      </w:r>
      <w:r w:rsidR="00E6472C" w:rsidRPr="00877D45">
        <w:rPr>
          <w:rFonts w:cs="Times New Roman"/>
        </w:rPr>
        <w:t>17</w:t>
      </w:r>
      <w:r w:rsidRPr="00877D45">
        <w:rPr>
          <w:rFonts w:cs="Times New Roman"/>
        </w:rPr>
        <w:t xml:space="preserve"> percent with 4.</w:t>
      </w:r>
      <w:r w:rsidR="00E6472C" w:rsidRPr="00877D45">
        <w:rPr>
          <w:rFonts w:cs="Times New Roman"/>
        </w:rPr>
        <w:t>98</w:t>
      </w:r>
      <w:r w:rsidRPr="00877D45">
        <w:rPr>
          <w:rFonts w:cs="Times New Roman"/>
        </w:rPr>
        <w:t>% of standard deviation. The range from 3 to 28.7</w:t>
      </w:r>
      <w:r w:rsidR="00E6472C" w:rsidRPr="00877D45">
        <w:rPr>
          <w:rFonts w:cs="Times New Roman"/>
        </w:rPr>
        <w:t>6</w:t>
      </w:r>
      <w:r w:rsidRPr="00877D45">
        <w:rPr>
          <w:rFonts w:cs="Times New Roman"/>
        </w:rPr>
        <w:t xml:space="preserve"> percent shows that working from home shares vary across area. In addition, median household income </w:t>
      </w:r>
      <w:r w:rsidR="000341B1" w:rsidRPr="00877D45">
        <w:rPr>
          <w:rFonts w:cs="Times New Roman"/>
        </w:rPr>
        <w:t>is</w:t>
      </w:r>
      <w:r w:rsidRPr="00877D45">
        <w:rPr>
          <w:rFonts w:cs="Times New Roman"/>
        </w:rPr>
        <w:t xml:space="preserve"> approximately $7</w:t>
      </w:r>
      <w:r w:rsidR="00E6472C" w:rsidRPr="00877D45">
        <w:rPr>
          <w:rFonts w:cs="Times New Roman"/>
        </w:rPr>
        <w:t>4,179</w:t>
      </w:r>
      <w:r w:rsidRPr="00877D45">
        <w:rPr>
          <w:rFonts w:cs="Times New Roman"/>
        </w:rPr>
        <w:t xml:space="preserve"> with a standard deviation </w:t>
      </w:r>
      <w:r w:rsidR="009C60E7" w:rsidRPr="00877D45">
        <w:rPr>
          <w:rFonts w:cs="Times New Roman"/>
        </w:rPr>
        <w:t>of $</w:t>
      </w:r>
      <w:r w:rsidRPr="00877D45">
        <w:rPr>
          <w:rFonts w:cs="Times New Roman"/>
        </w:rPr>
        <w:t>2</w:t>
      </w:r>
      <w:r w:rsidR="00E6472C" w:rsidRPr="00877D45">
        <w:rPr>
          <w:rFonts w:cs="Times New Roman"/>
        </w:rPr>
        <w:t>3,757</w:t>
      </w:r>
      <w:r w:rsidRPr="00877D45">
        <w:rPr>
          <w:rFonts w:cs="Times New Roman"/>
        </w:rPr>
        <w:t>. The median income, which is between $3</w:t>
      </w:r>
      <w:r w:rsidR="00E3054A" w:rsidRPr="00877D45">
        <w:rPr>
          <w:rFonts w:cs="Times New Roman"/>
        </w:rPr>
        <w:t>6</w:t>
      </w:r>
      <w:r w:rsidRPr="00877D45">
        <w:rPr>
          <w:rFonts w:cs="Times New Roman"/>
        </w:rPr>
        <w:t>,</w:t>
      </w:r>
      <w:r w:rsidR="00E3054A" w:rsidRPr="00877D45">
        <w:rPr>
          <w:rFonts w:cs="Times New Roman"/>
        </w:rPr>
        <w:t>099</w:t>
      </w:r>
      <w:r w:rsidRPr="00877D45">
        <w:rPr>
          <w:rFonts w:cs="Times New Roman"/>
        </w:rPr>
        <w:t xml:space="preserve"> and $1</w:t>
      </w:r>
      <w:r w:rsidR="00E3054A" w:rsidRPr="00877D45">
        <w:rPr>
          <w:rFonts w:cs="Times New Roman"/>
        </w:rPr>
        <w:t>57,481</w:t>
      </w:r>
      <w:r w:rsidRPr="00877D45">
        <w:rPr>
          <w:rFonts w:cs="Times New Roman"/>
        </w:rPr>
        <w:t>, indicates a dispersion across California.  Meanwhile, the population averages roughly 6</w:t>
      </w:r>
      <w:r w:rsidR="00E3054A" w:rsidRPr="00877D45">
        <w:rPr>
          <w:rFonts w:cs="Times New Roman"/>
        </w:rPr>
        <w:t>70</w:t>
      </w:r>
      <w:r w:rsidRPr="00877D45">
        <w:rPr>
          <w:rFonts w:cs="Times New Roman"/>
        </w:rPr>
        <w:t>,</w:t>
      </w:r>
      <w:r w:rsidR="00E3054A" w:rsidRPr="00877D45">
        <w:rPr>
          <w:rFonts w:cs="Times New Roman"/>
        </w:rPr>
        <w:t>210</w:t>
      </w:r>
      <w:r w:rsidRPr="00877D45">
        <w:rPr>
          <w:rFonts w:cs="Times New Roman"/>
        </w:rPr>
        <w:t xml:space="preserve"> per county.</w:t>
      </w:r>
    </w:p>
    <w:tbl>
      <w:tblPr>
        <w:tblW w:w="0" w:type="auto"/>
        <w:jc w:val="center"/>
        <w:tblLook w:val="04A0" w:firstRow="1" w:lastRow="0" w:firstColumn="1" w:lastColumn="0" w:noHBand="0" w:noVBand="1"/>
      </w:tblPr>
      <w:tblGrid>
        <w:gridCol w:w="1585"/>
        <w:gridCol w:w="1560"/>
        <w:gridCol w:w="1560"/>
        <w:gridCol w:w="1560"/>
        <w:gridCol w:w="1560"/>
        <w:gridCol w:w="1560"/>
      </w:tblGrid>
      <w:tr w:rsidR="00702814" w:rsidRPr="00877D45" w14:paraId="44E95E0D" w14:textId="77777777" w:rsidTr="00E3054A">
        <w:trPr>
          <w:jc w:val="center"/>
        </w:trPr>
        <w:tc>
          <w:tcPr>
            <w:tcW w:w="1585" w:type="dxa"/>
            <w:tcBorders>
              <w:top w:val="single" w:sz="8" w:space="0" w:color="000000"/>
              <w:left w:val="nil"/>
              <w:bottom w:val="single" w:sz="8" w:space="0" w:color="000000"/>
              <w:right w:val="nil"/>
            </w:tcBorders>
          </w:tcPr>
          <w:p w14:paraId="37AD22DE" w14:textId="77777777" w:rsidR="00702814" w:rsidRPr="00877D45" w:rsidRDefault="00000000">
            <w:pPr>
              <w:spacing w:after="0" w:line="240" w:lineRule="auto"/>
              <w:rPr>
                <w:rFonts w:cs="Times New Roman"/>
              </w:rPr>
            </w:pPr>
            <w:r w:rsidRPr="00877D45">
              <w:rPr>
                <w:rFonts w:cs="Times New Roman"/>
                <w:b/>
                <w:sz w:val="22"/>
              </w:rPr>
              <w:t>Variable</w:t>
            </w:r>
          </w:p>
        </w:tc>
        <w:tc>
          <w:tcPr>
            <w:tcW w:w="1560" w:type="dxa"/>
            <w:tcBorders>
              <w:top w:val="single" w:sz="8" w:space="0" w:color="000000"/>
              <w:left w:val="nil"/>
              <w:bottom w:val="single" w:sz="8" w:space="0" w:color="000000"/>
              <w:right w:val="nil"/>
            </w:tcBorders>
          </w:tcPr>
          <w:p w14:paraId="081F7C3D" w14:textId="77777777" w:rsidR="00702814" w:rsidRPr="00877D45" w:rsidRDefault="00000000">
            <w:pPr>
              <w:spacing w:after="0" w:line="240" w:lineRule="auto"/>
              <w:rPr>
                <w:rFonts w:cs="Times New Roman"/>
              </w:rPr>
            </w:pPr>
            <w:r w:rsidRPr="00877D45">
              <w:rPr>
                <w:rFonts w:cs="Times New Roman"/>
                <w:b/>
                <w:sz w:val="22"/>
              </w:rPr>
              <w:t>Mean</w:t>
            </w:r>
          </w:p>
        </w:tc>
        <w:tc>
          <w:tcPr>
            <w:tcW w:w="1560" w:type="dxa"/>
            <w:tcBorders>
              <w:top w:val="single" w:sz="8" w:space="0" w:color="000000"/>
              <w:left w:val="nil"/>
              <w:bottom w:val="single" w:sz="8" w:space="0" w:color="000000"/>
              <w:right w:val="nil"/>
            </w:tcBorders>
          </w:tcPr>
          <w:p w14:paraId="3AEDDE9E" w14:textId="77777777" w:rsidR="00702814" w:rsidRPr="00877D45" w:rsidRDefault="00000000">
            <w:pPr>
              <w:spacing w:after="0" w:line="240" w:lineRule="auto"/>
              <w:rPr>
                <w:rFonts w:cs="Times New Roman"/>
              </w:rPr>
            </w:pPr>
            <w:r w:rsidRPr="00877D45">
              <w:rPr>
                <w:rFonts w:cs="Times New Roman"/>
                <w:b/>
                <w:sz w:val="22"/>
              </w:rPr>
              <w:t>SD</w:t>
            </w:r>
          </w:p>
        </w:tc>
        <w:tc>
          <w:tcPr>
            <w:tcW w:w="1560" w:type="dxa"/>
            <w:tcBorders>
              <w:top w:val="single" w:sz="8" w:space="0" w:color="000000"/>
              <w:left w:val="nil"/>
              <w:bottom w:val="single" w:sz="8" w:space="0" w:color="000000"/>
              <w:right w:val="nil"/>
            </w:tcBorders>
          </w:tcPr>
          <w:p w14:paraId="52821E8D" w14:textId="77777777" w:rsidR="00702814" w:rsidRPr="00877D45" w:rsidRDefault="00000000">
            <w:pPr>
              <w:spacing w:after="0" w:line="240" w:lineRule="auto"/>
              <w:rPr>
                <w:rFonts w:cs="Times New Roman"/>
              </w:rPr>
            </w:pPr>
            <w:r w:rsidRPr="00877D45">
              <w:rPr>
                <w:rFonts w:cs="Times New Roman"/>
                <w:b/>
                <w:sz w:val="22"/>
              </w:rPr>
              <w:t>Min</w:t>
            </w:r>
          </w:p>
        </w:tc>
        <w:tc>
          <w:tcPr>
            <w:tcW w:w="1560" w:type="dxa"/>
            <w:tcBorders>
              <w:top w:val="single" w:sz="8" w:space="0" w:color="000000"/>
              <w:left w:val="nil"/>
              <w:bottom w:val="single" w:sz="8" w:space="0" w:color="000000"/>
              <w:right w:val="nil"/>
            </w:tcBorders>
          </w:tcPr>
          <w:p w14:paraId="64DAE82E" w14:textId="77777777" w:rsidR="00702814" w:rsidRPr="00877D45" w:rsidRDefault="00000000">
            <w:pPr>
              <w:spacing w:after="0" w:line="240" w:lineRule="auto"/>
              <w:rPr>
                <w:rFonts w:cs="Times New Roman"/>
              </w:rPr>
            </w:pPr>
            <w:r w:rsidRPr="00877D45">
              <w:rPr>
                <w:rFonts w:cs="Times New Roman"/>
                <w:b/>
                <w:sz w:val="22"/>
              </w:rPr>
              <w:t>Median</w:t>
            </w:r>
          </w:p>
        </w:tc>
        <w:tc>
          <w:tcPr>
            <w:tcW w:w="1560" w:type="dxa"/>
            <w:tcBorders>
              <w:top w:val="single" w:sz="8" w:space="0" w:color="000000"/>
              <w:left w:val="nil"/>
              <w:bottom w:val="single" w:sz="8" w:space="0" w:color="000000"/>
              <w:right w:val="nil"/>
            </w:tcBorders>
          </w:tcPr>
          <w:p w14:paraId="3D0A0833" w14:textId="77777777" w:rsidR="00702814" w:rsidRPr="00877D45" w:rsidRDefault="00000000">
            <w:pPr>
              <w:spacing w:after="0" w:line="240" w:lineRule="auto"/>
              <w:rPr>
                <w:rFonts w:cs="Times New Roman"/>
              </w:rPr>
            </w:pPr>
            <w:r w:rsidRPr="00877D45">
              <w:rPr>
                <w:rFonts w:cs="Times New Roman"/>
                <w:b/>
                <w:sz w:val="22"/>
              </w:rPr>
              <w:t>Max</w:t>
            </w:r>
          </w:p>
        </w:tc>
      </w:tr>
      <w:tr w:rsidR="00702814" w:rsidRPr="00877D45" w14:paraId="38E09AA7" w14:textId="77777777" w:rsidTr="00E3054A">
        <w:trPr>
          <w:jc w:val="center"/>
        </w:trPr>
        <w:tc>
          <w:tcPr>
            <w:tcW w:w="1585" w:type="dxa"/>
            <w:tcBorders>
              <w:top w:val="nil"/>
              <w:left w:val="nil"/>
              <w:bottom w:val="nil"/>
              <w:right w:val="nil"/>
            </w:tcBorders>
          </w:tcPr>
          <w:p w14:paraId="47C9E42D" w14:textId="77777777" w:rsidR="00702814" w:rsidRPr="00877D45" w:rsidRDefault="00000000">
            <w:pPr>
              <w:spacing w:after="0" w:line="240" w:lineRule="auto"/>
              <w:rPr>
                <w:rFonts w:cs="Times New Roman"/>
              </w:rPr>
            </w:pPr>
            <w:r w:rsidRPr="00877D45">
              <w:rPr>
                <w:rFonts w:cs="Times New Roman"/>
                <w:sz w:val="22"/>
              </w:rPr>
              <w:t>WFH rate (%)</w:t>
            </w:r>
          </w:p>
        </w:tc>
        <w:tc>
          <w:tcPr>
            <w:tcW w:w="1560" w:type="dxa"/>
            <w:tcBorders>
              <w:top w:val="nil"/>
              <w:left w:val="nil"/>
              <w:bottom w:val="nil"/>
              <w:right w:val="nil"/>
            </w:tcBorders>
          </w:tcPr>
          <w:p w14:paraId="274368D1" w14:textId="77777777" w:rsidR="00702814" w:rsidRPr="00877D45" w:rsidRDefault="00000000">
            <w:pPr>
              <w:spacing w:after="0" w:line="240" w:lineRule="auto"/>
              <w:rPr>
                <w:rFonts w:cs="Times New Roman"/>
              </w:rPr>
            </w:pPr>
            <w:r w:rsidRPr="00877D45">
              <w:rPr>
                <w:rFonts w:cs="Times New Roman"/>
                <w:sz w:val="22"/>
              </w:rPr>
              <w:t>9.17</w:t>
            </w:r>
          </w:p>
        </w:tc>
        <w:tc>
          <w:tcPr>
            <w:tcW w:w="1560" w:type="dxa"/>
            <w:tcBorders>
              <w:top w:val="nil"/>
              <w:left w:val="nil"/>
              <w:bottom w:val="nil"/>
              <w:right w:val="nil"/>
            </w:tcBorders>
          </w:tcPr>
          <w:p w14:paraId="6018E4ED" w14:textId="77777777" w:rsidR="00702814" w:rsidRPr="00877D45" w:rsidRDefault="00000000">
            <w:pPr>
              <w:spacing w:after="0" w:line="240" w:lineRule="auto"/>
              <w:rPr>
                <w:rFonts w:cs="Times New Roman"/>
              </w:rPr>
            </w:pPr>
            <w:r w:rsidRPr="00877D45">
              <w:rPr>
                <w:rFonts w:cs="Times New Roman"/>
                <w:sz w:val="22"/>
              </w:rPr>
              <w:t>4.98</w:t>
            </w:r>
          </w:p>
        </w:tc>
        <w:tc>
          <w:tcPr>
            <w:tcW w:w="1560" w:type="dxa"/>
            <w:tcBorders>
              <w:top w:val="nil"/>
              <w:left w:val="nil"/>
              <w:bottom w:val="nil"/>
              <w:right w:val="nil"/>
            </w:tcBorders>
          </w:tcPr>
          <w:p w14:paraId="3613517B" w14:textId="77777777" w:rsidR="00702814" w:rsidRPr="00877D45" w:rsidRDefault="00000000">
            <w:pPr>
              <w:spacing w:after="0" w:line="240" w:lineRule="auto"/>
              <w:rPr>
                <w:rFonts w:cs="Times New Roman"/>
              </w:rPr>
            </w:pPr>
            <w:r w:rsidRPr="00877D45">
              <w:rPr>
                <w:rFonts w:cs="Times New Roman"/>
                <w:sz w:val="22"/>
              </w:rPr>
              <w:t>3.00</w:t>
            </w:r>
          </w:p>
        </w:tc>
        <w:tc>
          <w:tcPr>
            <w:tcW w:w="1560" w:type="dxa"/>
            <w:tcBorders>
              <w:top w:val="nil"/>
              <w:left w:val="nil"/>
              <w:bottom w:val="nil"/>
              <w:right w:val="nil"/>
            </w:tcBorders>
          </w:tcPr>
          <w:p w14:paraId="1E29BF6A" w14:textId="77777777" w:rsidR="00702814" w:rsidRPr="00877D45" w:rsidRDefault="00000000">
            <w:pPr>
              <w:spacing w:after="0" w:line="240" w:lineRule="auto"/>
              <w:rPr>
                <w:rFonts w:cs="Times New Roman"/>
              </w:rPr>
            </w:pPr>
            <w:r w:rsidRPr="00877D45">
              <w:rPr>
                <w:rFonts w:cs="Times New Roman"/>
                <w:sz w:val="22"/>
              </w:rPr>
              <w:t>7.54</w:t>
            </w:r>
          </w:p>
        </w:tc>
        <w:tc>
          <w:tcPr>
            <w:tcW w:w="1560" w:type="dxa"/>
            <w:tcBorders>
              <w:top w:val="nil"/>
              <w:left w:val="nil"/>
              <w:bottom w:val="nil"/>
              <w:right w:val="nil"/>
            </w:tcBorders>
          </w:tcPr>
          <w:p w14:paraId="42A11648" w14:textId="77777777" w:rsidR="00702814" w:rsidRPr="00877D45" w:rsidRDefault="00000000">
            <w:pPr>
              <w:spacing w:after="0" w:line="240" w:lineRule="auto"/>
              <w:rPr>
                <w:rFonts w:cs="Times New Roman"/>
              </w:rPr>
            </w:pPr>
            <w:r w:rsidRPr="00877D45">
              <w:rPr>
                <w:rFonts w:cs="Times New Roman"/>
                <w:sz w:val="22"/>
              </w:rPr>
              <w:t>28.76</w:t>
            </w:r>
          </w:p>
        </w:tc>
      </w:tr>
      <w:tr w:rsidR="00702814" w:rsidRPr="00877D45" w14:paraId="77739643" w14:textId="77777777" w:rsidTr="00E3054A">
        <w:trPr>
          <w:jc w:val="center"/>
        </w:trPr>
        <w:tc>
          <w:tcPr>
            <w:tcW w:w="1585" w:type="dxa"/>
            <w:tcBorders>
              <w:top w:val="nil"/>
              <w:left w:val="nil"/>
              <w:bottom w:val="nil"/>
              <w:right w:val="nil"/>
            </w:tcBorders>
          </w:tcPr>
          <w:p w14:paraId="1B99D1FC" w14:textId="77777777" w:rsidR="00702814" w:rsidRPr="00877D45" w:rsidRDefault="00000000">
            <w:pPr>
              <w:spacing w:after="0" w:line="240" w:lineRule="auto"/>
              <w:rPr>
                <w:rFonts w:cs="Times New Roman"/>
              </w:rPr>
            </w:pPr>
            <w:r w:rsidRPr="00877D45">
              <w:rPr>
                <w:rFonts w:cs="Times New Roman"/>
                <w:sz w:val="22"/>
              </w:rPr>
              <w:t>log(Median Price)</w:t>
            </w:r>
          </w:p>
        </w:tc>
        <w:tc>
          <w:tcPr>
            <w:tcW w:w="1560" w:type="dxa"/>
            <w:tcBorders>
              <w:top w:val="nil"/>
              <w:left w:val="nil"/>
              <w:bottom w:val="nil"/>
              <w:right w:val="nil"/>
            </w:tcBorders>
          </w:tcPr>
          <w:p w14:paraId="771977CD" w14:textId="2C9CE0F4" w:rsidR="00702814" w:rsidRPr="00877D45" w:rsidRDefault="00000000">
            <w:pPr>
              <w:spacing w:after="0" w:line="240" w:lineRule="auto"/>
              <w:rPr>
                <w:rFonts w:cs="Times New Roman"/>
              </w:rPr>
            </w:pPr>
            <w:r w:rsidRPr="00877D45">
              <w:rPr>
                <w:rFonts w:cs="Times New Roman"/>
                <w:sz w:val="22"/>
              </w:rPr>
              <w:t>12.</w:t>
            </w:r>
            <w:r w:rsidR="0098012B" w:rsidRPr="00877D45">
              <w:rPr>
                <w:rFonts w:cs="Times New Roman"/>
                <w:sz w:val="22"/>
              </w:rPr>
              <w:t>90</w:t>
            </w:r>
          </w:p>
        </w:tc>
        <w:tc>
          <w:tcPr>
            <w:tcW w:w="1560" w:type="dxa"/>
            <w:tcBorders>
              <w:top w:val="nil"/>
              <w:left w:val="nil"/>
              <w:bottom w:val="nil"/>
              <w:right w:val="nil"/>
            </w:tcBorders>
          </w:tcPr>
          <w:p w14:paraId="2715E9B6" w14:textId="5FA54580" w:rsidR="00702814" w:rsidRPr="00877D45" w:rsidRDefault="00000000">
            <w:pPr>
              <w:spacing w:after="0" w:line="240" w:lineRule="auto"/>
              <w:rPr>
                <w:rFonts w:cs="Times New Roman"/>
              </w:rPr>
            </w:pPr>
            <w:r w:rsidRPr="00877D45">
              <w:rPr>
                <w:rFonts w:cs="Times New Roman"/>
                <w:sz w:val="22"/>
              </w:rPr>
              <w:t>0.</w:t>
            </w:r>
            <w:r w:rsidR="0098012B" w:rsidRPr="00877D45">
              <w:rPr>
                <w:rFonts w:cs="Times New Roman"/>
                <w:sz w:val="22"/>
              </w:rPr>
              <w:t>54</w:t>
            </w:r>
          </w:p>
        </w:tc>
        <w:tc>
          <w:tcPr>
            <w:tcW w:w="1560" w:type="dxa"/>
            <w:tcBorders>
              <w:top w:val="nil"/>
              <w:left w:val="nil"/>
              <w:bottom w:val="nil"/>
              <w:right w:val="nil"/>
            </w:tcBorders>
          </w:tcPr>
          <w:p w14:paraId="0EB3B6DF" w14:textId="67B096F9" w:rsidR="00702814" w:rsidRPr="00877D45" w:rsidRDefault="0098012B">
            <w:pPr>
              <w:spacing w:after="0" w:line="240" w:lineRule="auto"/>
              <w:rPr>
                <w:rFonts w:cs="Times New Roman"/>
              </w:rPr>
            </w:pPr>
            <w:r w:rsidRPr="00877D45">
              <w:rPr>
                <w:rFonts w:cs="Times New Roman"/>
              </w:rPr>
              <w:t>11.52</w:t>
            </w:r>
          </w:p>
        </w:tc>
        <w:tc>
          <w:tcPr>
            <w:tcW w:w="1560" w:type="dxa"/>
            <w:tcBorders>
              <w:top w:val="nil"/>
              <w:left w:val="nil"/>
              <w:bottom w:val="nil"/>
              <w:right w:val="nil"/>
            </w:tcBorders>
          </w:tcPr>
          <w:p w14:paraId="1F7B54FE" w14:textId="7C9CCA4F" w:rsidR="00702814" w:rsidRPr="00877D45" w:rsidRDefault="00000000">
            <w:pPr>
              <w:spacing w:after="0" w:line="240" w:lineRule="auto"/>
              <w:rPr>
                <w:rFonts w:cs="Times New Roman"/>
              </w:rPr>
            </w:pPr>
            <w:r w:rsidRPr="00877D45">
              <w:rPr>
                <w:rFonts w:cs="Times New Roman"/>
                <w:sz w:val="22"/>
              </w:rPr>
              <w:t>12.92</w:t>
            </w:r>
          </w:p>
        </w:tc>
        <w:tc>
          <w:tcPr>
            <w:tcW w:w="1560" w:type="dxa"/>
            <w:tcBorders>
              <w:top w:val="nil"/>
              <w:left w:val="nil"/>
              <w:bottom w:val="nil"/>
              <w:right w:val="nil"/>
            </w:tcBorders>
          </w:tcPr>
          <w:p w14:paraId="59784ECB" w14:textId="48B22124" w:rsidR="00702814" w:rsidRPr="00877D45" w:rsidRDefault="00000000">
            <w:pPr>
              <w:spacing w:after="0" w:line="240" w:lineRule="auto"/>
              <w:rPr>
                <w:rFonts w:cs="Times New Roman"/>
              </w:rPr>
            </w:pPr>
            <w:r w:rsidRPr="00877D45">
              <w:rPr>
                <w:rFonts w:cs="Times New Roman"/>
                <w:sz w:val="22"/>
              </w:rPr>
              <w:t>14.3</w:t>
            </w:r>
            <w:r w:rsidR="0098012B" w:rsidRPr="00877D45">
              <w:rPr>
                <w:rFonts w:cs="Times New Roman"/>
                <w:sz w:val="22"/>
              </w:rPr>
              <w:t>4</w:t>
            </w:r>
          </w:p>
        </w:tc>
      </w:tr>
      <w:tr w:rsidR="00702814" w:rsidRPr="00877D45" w14:paraId="1B7C8814" w14:textId="77777777" w:rsidTr="00E3054A">
        <w:trPr>
          <w:jc w:val="center"/>
        </w:trPr>
        <w:tc>
          <w:tcPr>
            <w:tcW w:w="1585" w:type="dxa"/>
            <w:tcBorders>
              <w:top w:val="nil"/>
              <w:left w:val="nil"/>
              <w:bottom w:val="nil"/>
              <w:right w:val="nil"/>
            </w:tcBorders>
          </w:tcPr>
          <w:p w14:paraId="28588459" w14:textId="77777777" w:rsidR="00702814" w:rsidRPr="00877D45" w:rsidRDefault="00000000">
            <w:pPr>
              <w:spacing w:after="0" w:line="240" w:lineRule="auto"/>
              <w:rPr>
                <w:rFonts w:cs="Times New Roman"/>
              </w:rPr>
            </w:pPr>
            <w:r w:rsidRPr="00877D45">
              <w:rPr>
                <w:rFonts w:cs="Times New Roman"/>
                <w:sz w:val="22"/>
              </w:rPr>
              <w:t>Median household income ($)</w:t>
            </w:r>
          </w:p>
        </w:tc>
        <w:tc>
          <w:tcPr>
            <w:tcW w:w="1560" w:type="dxa"/>
            <w:tcBorders>
              <w:top w:val="nil"/>
              <w:left w:val="nil"/>
              <w:bottom w:val="nil"/>
              <w:right w:val="nil"/>
            </w:tcBorders>
          </w:tcPr>
          <w:p w14:paraId="66DA157C" w14:textId="7CCBA008" w:rsidR="00702814" w:rsidRPr="00877D45" w:rsidRDefault="00000000">
            <w:pPr>
              <w:spacing w:after="0" w:line="240" w:lineRule="auto"/>
              <w:rPr>
                <w:rFonts w:cs="Times New Roman"/>
              </w:rPr>
            </w:pPr>
            <w:r w:rsidRPr="00877D45">
              <w:rPr>
                <w:rFonts w:cs="Times New Roman"/>
                <w:sz w:val="22"/>
              </w:rPr>
              <w:t>74,</w:t>
            </w:r>
            <w:r w:rsidR="0098012B" w:rsidRPr="00877D45">
              <w:rPr>
                <w:rFonts w:cs="Times New Roman"/>
                <w:sz w:val="22"/>
              </w:rPr>
              <w:t>599</w:t>
            </w:r>
          </w:p>
        </w:tc>
        <w:tc>
          <w:tcPr>
            <w:tcW w:w="1560" w:type="dxa"/>
            <w:tcBorders>
              <w:top w:val="nil"/>
              <w:left w:val="nil"/>
              <w:bottom w:val="nil"/>
              <w:right w:val="nil"/>
            </w:tcBorders>
          </w:tcPr>
          <w:p w14:paraId="57771701" w14:textId="7BDD9383" w:rsidR="00702814" w:rsidRPr="00877D45" w:rsidRDefault="00000000">
            <w:pPr>
              <w:spacing w:after="0" w:line="240" w:lineRule="auto"/>
              <w:rPr>
                <w:rFonts w:cs="Times New Roman"/>
              </w:rPr>
            </w:pPr>
            <w:r w:rsidRPr="00877D45">
              <w:rPr>
                <w:rFonts w:cs="Times New Roman"/>
                <w:sz w:val="22"/>
              </w:rPr>
              <w:t>23,</w:t>
            </w:r>
            <w:r w:rsidR="0098012B" w:rsidRPr="00877D45">
              <w:rPr>
                <w:rFonts w:cs="Times New Roman"/>
                <w:sz w:val="22"/>
              </w:rPr>
              <w:t>909</w:t>
            </w:r>
          </w:p>
        </w:tc>
        <w:tc>
          <w:tcPr>
            <w:tcW w:w="1560" w:type="dxa"/>
            <w:tcBorders>
              <w:top w:val="nil"/>
              <w:left w:val="nil"/>
              <w:bottom w:val="nil"/>
              <w:right w:val="nil"/>
            </w:tcBorders>
          </w:tcPr>
          <w:p w14:paraId="0EBA5CDB" w14:textId="3025896D" w:rsidR="00702814" w:rsidRPr="00877D45" w:rsidRDefault="00000000">
            <w:pPr>
              <w:spacing w:after="0" w:line="240" w:lineRule="auto"/>
              <w:rPr>
                <w:rFonts w:cs="Times New Roman"/>
              </w:rPr>
            </w:pPr>
            <w:r w:rsidRPr="00877D45">
              <w:rPr>
                <w:rFonts w:cs="Times New Roman"/>
                <w:sz w:val="22"/>
              </w:rPr>
              <w:t>3</w:t>
            </w:r>
            <w:r w:rsidR="0098012B" w:rsidRPr="00877D45">
              <w:rPr>
                <w:rFonts w:cs="Times New Roman"/>
                <w:sz w:val="22"/>
              </w:rPr>
              <w:t>7</w:t>
            </w:r>
            <w:r w:rsidRPr="00877D45">
              <w:rPr>
                <w:rFonts w:cs="Times New Roman"/>
                <w:sz w:val="22"/>
              </w:rPr>
              <w:t>,</w:t>
            </w:r>
            <w:r w:rsidR="0098012B" w:rsidRPr="00877D45">
              <w:rPr>
                <w:rFonts w:cs="Times New Roman"/>
                <w:sz w:val="22"/>
              </w:rPr>
              <w:t>551</w:t>
            </w:r>
          </w:p>
        </w:tc>
        <w:tc>
          <w:tcPr>
            <w:tcW w:w="1560" w:type="dxa"/>
            <w:tcBorders>
              <w:top w:val="nil"/>
              <w:left w:val="nil"/>
              <w:bottom w:val="nil"/>
              <w:right w:val="nil"/>
            </w:tcBorders>
          </w:tcPr>
          <w:p w14:paraId="1E88E8B8" w14:textId="6124F542" w:rsidR="00702814" w:rsidRPr="00877D45" w:rsidRDefault="00000000">
            <w:pPr>
              <w:spacing w:after="0" w:line="240" w:lineRule="auto"/>
              <w:rPr>
                <w:rFonts w:cs="Times New Roman"/>
              </w:rPr>
            </w:pPr>
            <w:r w:rsidRPr="00877D45">
              <w:rPr>
                <w:rFonts w:cs="Times New Roman"/>
                <w:sz w:val="22"/>
              </w:rPr>
              <w:t>68,</w:t>
            </w:r>
            <w:r w:rsidR="0098012B" w:rsidRPr="00877D45">
              <w:rPr>
                <w:rFonts w:cs="Times New Roman"/>
                <w:sz w:val="22"/>
              </w:rPr>
              <w:t>467</w:t>
            </w:r>
          </w:p>
        </w:tc>
        <w:tc>
          <w:tcPr>
            <w:tcW w:w="1560" w:type="dxa"/>
            <w:tcBorders>
              <w:top w:val="nil"/>
              <w:left w:val="nil"/>
              <w:bottom w:val="nil"/>
              <w:right w:val="nil"/>
            </w:tcBorders>
          </w:tcPr>
          <w:p w14:paraId="0554A64D" w14:textId="4E951F86" w:rsidR="00702814" w:rsidRPr="00877D45" w:rsidRDefault="00000000">
            <w:pPr>
              <w:spacing w:after="0" w:line="240" w:lineRule="auto"/>
              <w:rPr>
                <w:rFonts w:cs="Times New Roman"/>
              </w:rPr>
            </w:pPr>
            <w:r w:rsidRPr="00877D45">
              <w:rPr>
                <w:rFonts w:cs="Times New Roman"/>
                <w:sz w:val="22"/>
              </w:rPr>
              <w:t>1</w:t>
            </w:r>
            <w:r w:rsidR="0098012B" w:rsidRPr="00877D45">
              <w:rPr>
                <w:rFonts w:cs="Times New Roman"/>
                <w:sz w:val="22"/>
              </w:rPr>
              <w:t>60</w:t>
            </w:r>
            <w:r w:rsidRPr="00877D45">
              <w:rPr>
                <w:rFonts w:cs="Times New Roman"/>
                <w:sz w:val="22"/>
              </w:rPr>
              <w:t>,</w:t>
            </w:r>
            <w:r w:rsidR="0098012B" w:rsidRPr="00877D45">
              <w:rPr>
                <w:rFonts w:cs="Times New Roman"/>
                <w:sz w:val="22"/>
              </w:rPr>
              <w:t>731</w:t>
            </w:r>
          </w:p>
        </w:tc>
      </w:tr>
      <w:tr w:rsidR="00702814" w:rsidRPr="00877D45" w14:paraId="597E68F3" w14:textId="77777777" w:rsidTr="00E3054A">
        <w:trPr>
          <w:jc w:val="center"/>
        </w:trPr>
        <w:tc>
          <w:tcPr>
            <w:tcW w:w="1585" w:type="dxa"/>
            <w:tcBorders>
              <w:top w:val="nil"/>
              <w:left w:val="nil"/>
              <w:bottom w:val="nil"/>
              <w:right w:val="nil"/>
            </w:tcBorders>
          </w:tcPr>
          <w:p w14:paraId="137D3246" w14:textId="77777777" w:rsidR="00702814" w:rsidRPr="00877D45" w:rsidRDefault="00000000">
            <w:pPr>
              <w:spacing w:after="0" w:line="240" w:lineRule="auto"/>
              <w:rPr>
                <w:rFonts w:cs="Times New Roman"/>
              </w:rPr>
            </w:pPr>
            <w:r w:rsidRPr="00877D45">
              <w:rPr>
                <w:rFonts w:cs="Times New Roman"/>
                <w:sz w:val="22"/>
              </w:rPr>
              <w:t>Unemployment rate</w:t>
            </w:r>
          </w:p>
        </w:tc>
        <w:tc>
          <w:tcPr>
            <w:tcW w:w="1560" w:type="dxa"/>
            <w:tcBorders>
              <w:top w:val="nil"/>
              <w:left w:val="nil"/>
              <w:bottom w:val="nil"/>
              <w:right w:val="nil"/>
            </w:tcBorders>
          </w:tcPr>
          <w:p w14:paraId="44FE5416" w14:textId="77777777" w:rsidR="00702814" w:rsidRPr="00877D45" w:rsidRDefault="00000000">
            <w:pPr>
              <w:spacing w:after="0" w:line="240" w:lineRule="auto"/>
              <w:rPr>
                <w:rFonts w:cs="Times New Roman"/>
              </w:rPr>
            </w:pPr>
            <w:r w:rsidRPr="00877D45">
              <w:rPr>
                <w:rFonts w:cs="Times New Roman"/>
                <w:sz w:val="22"/>
              </w:rPr>
              <w:t>0.071</w:t>
            </w:r>
          </w:p>
        </w:tc>
        <w:tc>
          <w:tcPr>
            <w:tcW w:w="1560" w:type="dxa"/>
            <w:tcBorders>
              <w:top w:val="nil"/>
              <w:left w:val="nil"/>
              <w:bottom w:val="nil"/>
              <w:right w:val="nil"/>
            </w:tcBorders>
          </w:tcPr>
          <w:p w14:paraId="6BECB3B8" w14:textId="77777777" w:rsidR="00702814" w:rsidRPr="00877D45" w:rsidRDefault="00000000">
            <w:pPr>
              <w:spacing w:after="0" w:line="240" w:lineRule="auto"/>
              <w:rPr>
                <w:rFonts w:cs="Times New Roman"/>
              </w:rPr>
            </w:pPr>
            <w:r w:rsidRPr="00877D45">
              <w:rPr>
                <w:rFonts w:cs="Times New Roman"/>
                <w:sz w:val="22"/>
              </w:rPr>
              <w:t>0.025</w:t>
            </w:r>
          </w:p>
        </w:tc>
        <w:tc>
          <w:tcPr>
            <w:tcW w:w="1560" w:type="dxa"/>
            <w:tcBorders>
              <w:top w:val="nil"/>
              <w:left w:val="nil"/>
              <w:bottom w:val="nil"/>
              <w:right w:val="nil"/>
            </w:tcBorders>
          </w:tcPr>
          <w:p w14:paraId="72B790FA" w14:textId="77777777" w:rsidR="00702814" w:rsidRPr="00877D45" w:rsidRDefault="00000000">
            <w:pPr>
              <w:spacing w:after="0" w:line="240" w:lineRule="auto"/>
              <w:rPr>
                <w:rFonts w:cs="Times New Roman"/>
              </w:rPr>
            </w:pPr>
            <w:r w:rsidRPr="00877D45">
              <w:rPr>
                <w:rFonts w:cs="Times New Roman"/>
                <w:sz w:val="22"/>
              </w:rPr>
              <w:t>0.000</w:t>
            </w:r>
          </w:p>
        </w:tc>
        <w:tc>
          <w:tcPr>
            <w:tcW w:w="1560" w:type="dxa"/>
            <w:tcBorders>
              <w:top w:val="nil"/>
              <w:left w:val="nil"/>
              <w:bottom w:val="nil"/>
              <w:right w:val="nil"/>
            </w:tcBorders>
          </w:tcPr>
          <w:p w14:paraId="0741BFD5" w14:textId="77777777" w:rsidR="00702814" w:rsidRPr="00877D45" w:rsidRDefault="00000000">
            <w:pPr>
              <w:spacing w:after="0" w:line="240" w:lineRule="auto"/>
              <w:rPr>
                <w:rFonts w:cs="Times New Roman"/>
              </w:rPr>
            </w:pPr>
            <w:r w:rsidRPr="00877D45">
              <w:rPr>
                <w:rFonts w:cs="Times New Roman"/>
                <w:sz w:val="22"/>
              </w:rPr>
              <w:t>0.067</w:t>
            </w:r>
          </w:p>
        </w:tc>
        <w:tc>
          <w:tcPr>
            <w:tcW w:w="1560" w:type="dxa"/>
            <w:tcBorders>
              <w:top w:val="nil"/>
              <w:left w:val="nil"/>
              <w:bottom w:val="nil"/>
              <w:right w:val="nil"/>
            </w:tcBorders>
          </w:tcPr>
          <w:p w14:paraId="00690F59" w14:textId="77777777" w:rsidR="00702814" w:rsidRPr="00877D45" w:rsidRDefault="00000000">
            <w:pPr>
              <w:spacing w:after="0" w:line="240" w:lineRule="auto"/>
              <w:rPr>
                <w:rFonts w:cs="Times New Roman"/>
              </w:rPr>
            </w:pPr>
            <w:r w:rsidRPr="00877D45">
              <w:rPr>
                <w:rFonts w:cs="Times New Roman"/>
                <w:sz w:val="22"/>
              </w:rPr>
              <w:t>0.187</w:t>
            </w:r>
          </w:p>
        </w:tc>
      </w:tr>
      <w:tr w:rsidR="00702814" w:rsidRPr="00877D45" w14:paraId="6518C900" w14:textId="77777777" w:rsidTr="00E3054A">
        <w:trPr>
          <w:jc w:val="center"/>
        </w:trPr>
        <w:tc>
          <w:tcPr>
            <w:tcW w:w="1585" w:type="dxa"/>
            <w:tcBorders>
              <w:top w:val="nil"/>
              <w:left w:val="nil"/>
              <w:bottom w:val="single" w:sz="8" w:space="0" w:color="000000"/>
              <w:right w:val="nil"/>
            </w:tcBorders>
          </w:tcPr>
          <w:p w14:paraId="618D2524" w14:textId="77777777" w:rsidR="00702814" w:rsidRPr="00877D45" w:rsidRDefault="00000000">
            <w:pPr>
              <w:spacing w:after="0" w:line="240" w:lineRule="auto"/>
              <w:rPr>
                <w:rFonts w:cs="Times New Roman"/>
              </w:rPr>
            </w:pPr>
            <w:r w:rsidRPr="00877D45">
              <w:rPr>
                <w:rFonts w:cs="Times New Roman"/>
                <w:sz w:val="22"/>
              </w:rPr>
              <w:t>Population</w:t>
            </w:r>
          </w:p>
        </w:tc>
        <w:tc>
          <w:tcPr>
            <w:tcW w:w="1560" w:type="dxa"/>
            <w:tcBorders>
              <w:top w:val="nil"/>
              <w:left w:val="nil"/>
              <w:bottom w:val="single" w:sz="8" w:space="0" w:color="000000"/>
              <w:right w:val="nil"/>
            </w:tcBorders>
          </w:tcPr>
          <w:p w14:paraId="7ED6CFC2" w14:textId="77777777" w:rsidR="00702814" w:rsidRPr="00877D45" w:rsidRDefault="00000000">
            <w:pPr>
              <w:spacing w:after="0" w:line="240" w:lineRule="auto"/>
              <w:rPr>
                <w:rFonts w:cs="Times New Roman"/>
              </w:rPr>
            </w:pPr>
            <w:r w:rsidRPr="00877D45">
              <w:rPr>
                <w:rFonts w:cs="Times New Roman"/>
                <w:sz w:val="22"/>
              </w:rPr>
              <w:t>670,210</w:t>
            </w:r>
          </w:p>
        </w:tc>
        <w:tc>
          <w:tcPr>
            <w:tcW w:w="1560" w:type="dxa"/>
            <w:tcBorders>
              <w:top w:val="nil"/>
              <w:left w:val="nil"/>
              <w:bottom w:val="single" w:sz="8" w:space="0" w:color="000000"/>
              <w:right w:val="nil"/>
            </w:tcBorders>
          </w:tcPr>
          <w:p w14:paraId="11ED4515" w14:textId="77777777" w:rsidR="00702814" w:rsidRPr="00877D45" w:rsidRDefault="00000000">
            <w:pPr>
              <w:spacing w:after="0" w:line="240" w:lineRule="auto"/>
              <w:rPr>
                <w:rFonts w:cs="Times New Roman"/>
              </w:rPr>
            </w:pPr>
            <w:r w:rsidRPr="00877D45">
              <w:rPr>
                <w:rFonts w:cs="Times New Roman"/>
                <w:sz w:val="22"/>
              </w:rPr>
              <w:t>1,446,830</w:t>
            </w:r>
          </w:p>
        </w:tc>
        <w:tc>
          <w:tcPr>
            <w:tcW w:w="1560" w:type="dxa"/>
            <w:tcBorders>
              <w:top w:val="nil"/>
              <w:left w:val="nil"/>
              <w:bottom w:val="single" w:sz="8" w:space="0" w:color="000000"/>
              <w:right w:val="nil"/>
            </w:tcBorders>
          </w:tcPr>
          <w:p w14:paraId="567FF6FE" w14:textId="77777777" w:rsidR="00702814" w:rsidRPr="00877D45" w:rsidRDefault="00000000">
            <w:pPr>
              <w:spacing w:after="0" w:line="240" w:lineRule="auto"/>
              <w:rPr>
                <w:rFonts w:cs="Times New Roman"/>
              </w:rPr>
            </w:pPr>
            <w:r w:rsidRPr="00877D45">
              <w:rPr>
                <w:rFonts w:cs="Times New Roman"/>
                <w:sz w:val="22"/>
              </w:rPr>
              <w:t>926</w:t>
            </w:r>
          </w:p>
        </w:tc>
        <w:tc>
          <w:tcPr>
            <w:tcW w:w="1560" w:type="dxa"/>
            <w:tcBorders>
              <w:top w:val="nil"/>
              <w:left w:val="nil"/>
              <w:bottom w:val="single" w:sz="8" w:space="0" w:color="000000"/>
              <w:right w:val="nil"/>
            </w:tcBorders>
          </w:tcPr>
          <w:p w14:paraId="0633493E" w14:textId="77777777" w:rsidR="00702814" w:rsidRPr="00877D45" w:rsidRDefault="00000000">
            <w:pPr>
              <w:spacing w:after="0" w:line="240" w:lineRule="auto"/>
              <w:rPr>
                <w:rFonts w:cs="Times New Roman"/>
              </w:rPr>
            </w:pPr>
            <w:r w:rsidRPr="00877D45">
              <w:rPr>
                <w:rFonts w:cs="Times New Roman"/>
                <w:sz w:val="22"/>
              </w:rPr>
              <w:t>177,652</w:t>
            </w:r>
          </w:p>
        </w:tc>
        <w:tc>
          <w:tcPr>
            <w:tcW w:w="1560" w:type="dxa"/>
            <w:tcBorders>
              <w:top w:val="nil"/>
              <w:left w:val="nil"/>
              <w:bottom w:val="single" w:sz="8" w:space="0" w:color="000000"/>
              <w:right w:val="nil"/>
            </w:tcBorders>
          </w:tcPr>
          <w:p w14:paraId="788D7044" w14:textId="77777777" w:rsidR="00702814" w:rsidRPr="00877D45" w:rsidRDefault="00000000">
            <w:pPr>
              <w:spacing w:after="0" w:line="240" w:lineRule="auto"/>
              <w:rPr>
                <w:rFonts w:cs="Times New Roman"/>
              </w:rPr>
            </w:pPr>
            <w:r w:rsidRPr="00877D45">
              <w:rPr>
                <w:rFonts w:cs="Times New Roman"/>
                <w:sz w:val="22"/>
              </w:rPr>
              <w:t>10,088,658</w:t>
            </w:r>
          </w:p>
        </w:tc>
      </w:tr>
    </w:tbl>
    <w:p w14:paraId="02E3FF36" w14:textId="6F8F787C" w:rsidR="00702814" w:rsidRPr="00877D45" w:rsidRDefault="00E3054A" w:rsidP="00E3054A">
      <w:pPr>
        <w:spacing w:after="0" w:line="480" w:lineRule="auto"/>
        <w:jc w:val="center"/>
        <w:rPr>
          <w:rFonts w:cs="Times New Roman"/>
          <w:i/>
        </w:rPr>
      </w:pPr>
      <w:r w:rsidRPr="00877D45">
        <w:rPr>
          <w:rFonts w:cs="Times New Roman"/>
        </w:rPr>
        <w:t xml:space="preserve">Table 1 </w:t>
      </w:r>
      <w:r w:rsidRPr="00877D45">
        <w:rPr>
          <w:rFonts w:cs="Times New Roman"/>
          <w:i/>
        </w:rPr>
        <w:t>Summary Statistics (County Level, N = 406 observations, 58 counties)</w:t>
      </w:r>
    </w:p>
    <w:p w14:paraId="3DA040AA" w14:textId="2BB181E4" w:rsidR="0098012B" w:rsidRPr="00877D45" w:rsidRDefault="0098012B" w:rsidP="0098012B">
      <w:pPr>
        <w:spacing w:before="40" w:line="260" w:lineRule="exact"/>
        <w:rPr>
          <w:rFonts w:cs="Times New Roman"/>
        </w:rPr>
      </w:pPr>
      <w:r w:rsidRPr="00877D45">
        <w:rPr>
          <w:rFonts w:cs="Times New Roman"/>
          <w:b/>
          <w:sz w:val="19"/>
        </w:rPr>
        <w:t xml:space="preserve">Note. </w:t>
      </w:r>
      <w:r w:rsidRPr="00877D45">
        <w:rPr>
          <w:rFonts w:cs="Times New Roman"/>
          <w:sz w:val="19"/>
        </w:rPr>
        <w:t>WFH rate is the population-weighted mean of ZIP-level ACS S0801 WFH percentages. Prices are annual population-weighted means of monthly Zillow ZHVI, in logarithms. Unemployment is expressed as a decimal fraction. N = 406 county–years (58 California counties × 7 years, 2017–2023).</w:t>
      </w:r>
    </w:p>
    <w:p w14:paraId="2FA62A6A" w14:textId="4FCDEBA4" w:rsidR="00E8028D" w:rsidRPr="00877D45" w:rsidRDefault="00000000" w:rsidP="00877D45">
      <w:pPr>
        <w:pStyle w:val="ListParagraph"/>
        <w:numPr>
          <w:ilvl w:val="0"/>
          <w:numId w:val="11"/>
        </w:numPr>
        <w:spacing w:after="0" w:line="480" w:lineRule="auto"/>
        <w:rPr>
          <w:rFonts w:cs="Times New Roman"/>
        </w:rPr>
      </w:pPr>
      <w:r w:rsidRPr="00877D45">
        <w:rPr>
          <w:rFonts w:cs="Times New Roman"/>
          <w:b/>
        </w:rPr>
        <w:t>Empirical Strategy</w:t>
      </w:r>
    </w:p>
    <w:p w14:paraId="0E795408" w14:textId="77777777" w:rsidR="00E8028D" w:rsidRPr="00877D45" w:rsidRDefault="00FF6B01" w:rsidP="00E8028D">
      <w:pPr>
        <w:spacing w:after="0" w:line="480" w:lineRule="auto"/>
        <w:ind w:firstLine="360"/>
        <w:rPr>
          <w:rFonts w:cs="Times New Roman"/>
          <w:b/>
        </w:rPr>
      </w:pPr>
      <w:r w:rsidRPr="00877D45">
        <w:rPr>
          <w:rFonts w:cs="Times New Roman"/>
          <w:b/>
        </w:rPr>
        <w:t xml:space="preserve">3.1 </w:t>
      </w:r>
      <w:r w:rsidR="00E8028D" w:rsidRPr="00877D45">
        <w:rPr>
          <w:rFonts w:cs="Times New Roman"/>
          <w:b/>
        </w:rPr>
        <w:t>Main TWFE Specification</w:t>
      </w:r>
    </w:p>
    <w:p w14:paraId="5F996F8D" w14:textId="77777777" w:rsidR="00E8028D" w:rsidRPr="00877D45" w:rsidRDefault="00E8028D" w:rsidP="00E8028D">
      <w:pPr>
        <w:spacing w:after="0" w:line="480" w:lineRule="auto"/>
        <w:ind w:firstLine="360"/>
        <w:rPr>
          <w:rFonts w:cs="Times New Roman"/>
          <w:bCs/>
        </w:rPr>
      </w:pPr>
      <w:r w:rsidRPr="00877D45">
        <w:rPr>
          <w:rFonts w:cs="Times New Roman"/>
          <w:bCs/>
        </w:rPr>
        <w:t>The primary specification is a two-way fixed effects (TWFE) panel regression:</w:t>
      </w:r>
    </w:p>
    <w:p w14:paraId="1C595A5A" w14:textId="77777777" w:rsidR="00E8028D" w:rsidRPr="00877D45" w:rsidRDefault="00E8028D" w:rsidP="00E8028D">
      <w:pPr>
        <w:spacing w:after="0" w:line="480" w:lineRule="auto"/>
        <w:ind w:firstLine="360"/>
        <w:rPr>
          <w:rFonts w:cs="Times New Roman"/>
          <w:bCs/>
        </w:rPr>
      </w:pPr>
      <w:r w:rsidRPr="00877D45">
        <w:rPr>
          <w:rFonts w:cs="Times New Roman"/>
          <w:bCs/>
        </w:rPr>
        <w:lastRenderedPageBreak/>
        <w:t>log(</w:t>
      </w:r>
      <w:proofErr w:type="spellStart"/>
      <w:r w:rsidRPr="00877D45">
        <w:rPr>
          <w:rFonts w:cs="Times New Roman"/>
          <w:bCs/>
        </w:rPr>
        <w:t>P_ct</w:t>
      </w:r>
      <w:proofErr w:type="spellEnd"/>
      <w:r w:rsidRPr="00877D45">
        <w:rPr>
          <w:rFonts w:cs="Times New Roman"/>
          <w:bCs/>
        </w:rPr>
        <w:t xml:space="preserve">) = β </w:t>
      </w:r>
      <w:proofErr w:type="spellStart"/>
      <w:r w:rsidRPr="00877D45">
        <w:rPr>
          <w:rFonts w:cs="Times New Roman"/>
          <w:bCs/>
        </w:rPr>
        <w:t>WFH_ct</w:t>
      </w:r>
      <w:proofErr w:type="spellEnd"/>
      <w:r w:rsidRPr="00877D45">
        <w:rPr>
          <w:rFonts w:cs="Times New Roman"/>
          <w:bCs/>
        </w:rPr>
        <w:t xml:space="preserve"> + δ </w:t>
      </w:r>
      <w:proofErr w:type="gramStart"/>
      <w:r w:rsidRPr="00877D45">
        <w:rPr>
          <w:rFonts w:cs="Times New Roman"/>
          <w:bCs/>
        </w:rPr>
        <w:t>log(</w:t>
      </w:r>
      <w:proofErr w:type="spellStart"/>
      <w:proofErr w:type="gramEnd"/>
      <w:r w:rsidRPr="00877D45">
        <w:rPr>
          <w:rFonts w:cs="Times New Roman"/>
          <w:bCs/>
        </w:rPr>
        <w:t>Income_ct</w:t>
      </w:r>
      <w:proofErr w:type="spellEnd"/>
      <w:r w:rsidRPr="00877D45">
        <w:rPr>
          <w:rFonts w:cs="Times New Roman"/>
          <w:bCs/>
        </w:rPr>
        <w:t xml:space="preserve">) + α_c + </w:t>
      </w:r>
      <w:proofErr w:type="spellStart"/>
      <w:r w:rsidRPr="00877D45">
        <w:rPr>
          <w:rFonts w:cs="Times New Roman"/>
          <w:bCs/>
        </w:rPr>
        <w:t>γ_t</w:t>
      </w:r>
      <w:proofErr w:type="spellEnd"/>
      <w:r w:rsidRPr="00877D45">
        <w:rPr>
          <w:rFonts w:cs="Times New Roman"/>
          <w:bCs/>
        </w:rPr>
        <w:t xml:space="preserve"> + </w:t>
      </w:r>
      <w:proofErr w:type="spellStart"/>
      <w:r w:rsidRPr="00877D45">
        <w:rPr>
          <w:rFonts w:cs="Times New Roman"/>
          <w:bCs/>
        </w:rPr>
        <w:t>ε_ct</w:t>
      </w:r>
      <w:proofErr w:type="spellEnd"/>
      <w:r w:rsidRPr="00877D45">
        <w:rPr>
          <w:rFonts w:cs="Times New Roman"/>
          <w:bCs/>
        </w:rPr>
        <w:t xml:space="preserve">  </w:t>
      </w:r>
      <w:proofErr w:type="gramStart"/>
      <w:r w:rsidRPr="00877D45">
        <w:rPr>
          <w:rFonts w:cs="Times New Roman"/>
          <w:bCs/>
        </w:rPr>
        <w:t xml:space="preserve">   (</w:t>
      </w:r>
      <w:proofErr w:type="gramEnd"/>
      <w:r w:rsidRPr="00877D45">
        <w:rPr>
          <w:rFonts w:cs="Times New Roman"/>
          <w:bCs/>
        </w:rPr>
        <w:t>1)</w:t>
      </w:r>
    </w:p>
    <w:p w14:paraId="3FCCB526" w14:textId="338FDBFA" w:rsidR="00E8028D" w:rsidRPr="00877D45" w:rsidRDefault="00E8028D" w:rsidP="00E8028D">
      <w:pPr>
        <w:spacing w:after="0" w:line="480" w:lineRule="auto"/>
        <w:ind w:firstLine="360"/>
        <w:rPr>
          <w:rFonts w:cs="Times New Roman"/>
          <w:bCs/>
        </w:rPr>
      </w:pPr>
      <w:r w:rsidRPr="00877D45">
        <w:rPr>
          <w:rFonts w:cs="Times New Roman"/>
          <w:bCs/>
        </w:rPr>
        <w:t xml:space="preserve">where </w:t>
      </w:r>
      <w:proofErr w:type="spellStart"/>
      <w:r w:rsidRPr="00877D45">
        <w:rPr>
          <w:rFonts w:cs="Times New Roman"/>
          <w:bCs/>
        </w:rPr>
        <w:t>P_ct</w:t>
      </w:r>
      <w:proofErr w:type="spellEnd"/>
      <w:r w:rsidRPr="00877D45">
        <w:rPr>
          <w:rFonts w:cs="Times New Roman"/>
          <w:bCs/>
        </w:rPr>
        <w:t xml:space="preserve"> is the population-weighted mean Zillow ZHVI in county c and year t, </w:t>
      </w:r>
      <w:proofErr w:type="spellStart"/>
      <w:r w:rsidRPr="00877D45">
        <w:rPr>
          <w:rFonts w:cs="Times New Roman"/>
          <w:bCs/>
        </w:rPr>
        <w:t>WFH_ct</w:t>
      </w:r>
      <w:proofErr w:type="spellEnd"/>
      <w:r w:rsidRPr="00877D45">
        <w:rPr>
          <w:rFonts w:cs="Times New Roman"/>
          <w:bCs/>
        </w:rPr>
        <w:t xml:space="preserve"> is the county WFH rate (in percentage points), α_c are county fixed effects absorbing all time-invariant county characteristics, </w:t>
      </w:r>
      <w:proofErr w:type="spellStart"/>
      <w:r w:rsidRPr="00877D45">
        <w:rPr>
          <w:rFonts w:cs="Times New Roman"/>
          <w:bCs/>
        </w:rPr>
        <w:t>γ_t</w:t>
      </w:r>
      <w:proofErr w:type="spellEnd"/>
      <w:r w:rsidRPr="00877D45">
        <w:rPr>
          <w:rFonts w:cs="Times New Roman"/>
          <w:bCs/>
        </w:rPr>
        <w:t xml:space="preserve"> are year fixed effects absorbing common macroeconomic shocks, and </w:t>
      </w:r>
      <w:proofErr w:type="spellStart"/>
      <w:r w:rsidRPr="00877D45">
        <w:rPr>
          <w:rFonts w:cs="Times New Roman"/>
          <w:bCs/>
        </w:rPr>
        <w:t>ε_ct</w:t>
      </w:r>
      <w:proofErr w:type="spellEnd"/>
      <w:r w:rsidRPr="00877D45">
        <w:rPr>
          <w:rFonts w:cs="Times New Roman"/>
          <w:bCs/>
        </w:rPr>
        <w:t xml:space="preserve"> is a</w:t>
      </w:r>
      <w:r w:rsidR="00DB3FEB">
        <w:rPr>
          <w:rFonts w:cs="Times New Roman"/>
          <w:bCs/>
        </w:rPr>
        <w:t>n</w:t>
      </w:r>
      <w:r w:rsidRPr="00877D45">
        <w:rPr>
          <w:rFonts w:cs="Times New Roman"/>
          <w:bCs/>
        </w:rPr>
        <w:t xml:space="preserve"> error term. Standard errors are clustered by county (CRV1). The coefficient β estimates the within-county effect of a one-percentage-point increase in the WFH rate on </w:t>
      </w:r>
      <w:proofErr w:type="gramStart"/>
      <w:r w:rsidRPr="00877D45">
        <w:rPr>
          <w:rFonts w:cs="Times New Roman"/>
          <w:bCs/>
        </w:rPr>
        <w:t>log housing</w:t>
      </w:r>
      <w:proofErr w:type="gramEnd"/>
      <w:r w:rsidRPr="00877D45">
        <w:rPr>
          <w:rFonts w:cs="Times New Roman"/>
          <w:bCs/>
        </w:rPr>
        <w:t xml:space="preserve"> prices, controlling for contemporaneous income growth</w:t>
      </w:r>
    </w:p>
    <w:p w14:paraId="3AB4FC66" w14:textId="4861D2CF" w:rsidR="00702814" w:rsidRPr="00877D45" w:rsidRDefault="00E8028D" w:rsidP="00FF6B01">
      <w:pPr>
        <w:spacing w:after="0" w:line="480" w:lineRule="auto"/>
        <w:ind w:firstLine="360"/>
        <w:rPr>
          <w:rFonts w:cs="Times New Roman"/>
        </w:rPr>
      </w:pPr>
      <w:r w:rsidRPr="00877D45">
        <w:rPr>
          <w:rFonts w:cs="Times New Roman"/>
          <w:b/>
        </w:rPr>
        <w:t>3.2 Primary Methodology: Dynamic TWFE Event Study</w:t>
      </w:r>
    </w:p>
    <w:p w14:paraId="484F3015" w14:textId="344F8C6A" w:rsidR="00E8028D" w:rsidRPr="00877D45" w:rsidRDefault="00E8028D" w:rsidP="00E8028D">
      <w:pPr>
        <w:spacing w:before="120" w:after="120"/>
        <w:jc w:val="center"/>
        <w:rPr>
          <w:rFonts w:cs="Times New Roman"/>
          <w:b/>
          <w:bCs/>
          <w:szCs w:val="24"/>
        </w:rPr>
      </w:pPr>
      <w:r w:rsidRPr="00877D45">
        <w:rPr>
          <w:rFonts w:cs="Times New Roman"/>
          <w:b/>
          <w:bCs/>
          <w:szCs w:val="24"/>
        </w:rPr>
        <w:t>log(</w:t>
      </w:r>
      <w:proofErr w:type="spellStart"/>
      <w:r w:rsidRPr="00877D45">
        <w:rPr>
          <w:rFonts w:cs="Times New Roman"/>
          <w:b/>
          <w:bCs/>
          <w:szCs w:val="24"/>
        </w:rPr>
        <w:t>P_ct</w:t>
      </w:r>
      <w:proofErr w:type="spellEnd"/>
      <w:r w:rsidRPr="00877D45">
        <w:rPr>
          <w:rFonts w:cs="Times New Roman"/>
          <w:b/>
          <w:bCs/>
          <w:szCs w:val="24"/>
        </w:rPr>
        <w:t>) = Σ_{t’2019} β_t (</w:t>
      </w:r>
      <w:proofErr w:type="spellStart"/>
      <w:r w:rsidRPr="00877D45">
        <w:rPr>
          <w:rFonts w:cs="Times New Roman"/>
          <w:b/>
          <w:bCs/>
          <w:szCs w:val="24"/>
        </w:rPr>
        <w:t>WFH_ct</w:t>
      </w:r>
      <w:proofErr w:type="spellEnd"/>
      <w:r w:rsidRPr="00877D45">
        <w:rPr>
          <w:rFonts w:cs="Times New Roman"/>
          <w:b/>
          <w:bCs/>
          <w:szCs w:val="24"/>
        </w:rPr>
        <w:t xml:space="preserve"> × 1[Year=t]) + δ </w:t>
      </w:r>
      <w:proofErr w:type="gramStart"/>
      <w:r w:rsidRPr="00877D45">
        <w:rPr>
          <w:rFonts w:cs="Times New Roman"/>
          <w:b/>
          <w:bCs/>
          <w:szCs w:val="24"/>
        </w:rPr>
        <w:t>log(</w:t>
      </w:r>
      <w:proofErr w:type="spellStart"/>
      <w:proofErr w:type="gramEnd"/>
      <w:r w:rsidRPr="00877D45">
        <w:rPr>
          <w:rFonts w:cs="Times New Roman"/>
          <w:b/>
          <w:bCs/>
          <w:szCs w:val="24"/>
        </w:rPr>
        <w:t>Income_ct</w:t>
      </w:r>
      <w:proofErr w:type="spellEnd"/>
      <w:r w:rsidRPr="00877D45">
        <w:rPr>
          <w:rFonts w:cs="Times New Roman"/>
          <w:b/>
          <w:bCs/>
          <w:szCs w:val="24"/>
        </w:rPr>
        <w:t xml:space="preserve">) + α_c + </w:t>
      </w:r>
      <w:proofErr w:type="spellStart"/>
      <w:r w:rsidRPr="00877D45">
        <w:rPr>
          <w:rFonts w:cs="Times New Roman"/>
          <w:b/>
          <w:bCs/>
          <w:szCs w:val="24"/>
        </w:rPr>
        <w:t>γ_t</w:t>
      </w:r>
      <w:proofErr w:type="spellEnd"/>
      <w:r w:rsidRPr="00877D45">
        <w:rPr>
          <w:rFonts w:cs="Times New Roman"/>
          <w:b/>
          <w:bCs/>
          <w:szCs w:val="24"/>
        </w:rPr>
        <w:t xml:space="preserve"> + </w:t>
      </w:r>
      <w:proofErr w:type="spellStart"/>
      <w:r w:rsidRPr="00877D45">
        <w:rPr>
          <w:rFonts w:cs="Times New Roman"/>
          <w:b/>
          <w:bCs/>
          <w:szCs w:val="24"/>
        </w:rPr>
        <w:t>ε_ct</w:t>
      </w:r>
      <w:proofErr w:type="spellEnd"/>
      <w:r w:rsidRPr="00877D45">
        <w:rPr>
          <w:rFonts w:cs="Times New Roman"/>
          <w:b/>
          <w:bCs/>
          <w:szCs w:val="24"/>
        </w:rPr>
        <w:t xml:space="preserve">  </w:t>
      </w:r>
      <w:proofErr w:type="gramStart"/>
      <w:r w:rsidRPr="00877D45">
        <w:rPr>
          <w:rFonts w:cs="Times New Roman"/>
          <w:b/>
          <w:bCs/>
          <w:szCs w:val="24"/>
        </w:rPr>
        <w:t xml:space="preserve">   (</w:t>
      </w:r>
      <w:proofErr w:type="gramEnd"/>
      <w:r w:rsidRPr="00877D45">
        <w:rPr>
          <w:rFonts w:cs="Times New Roman"/>
          <w:b/>
          <w:bCs/>
          <w:szCs w:val="24"/>
        </w:rPr>
        <w:t>2)</w:t>
      </w:r>
    </w:p>
    <w:p w14:paraId="5A1B0A10" w14:textId="434E7AF9" w:rsidR="00702814" w:rsidRPr="00877D45" w:rsidRDefault="00000000">
      <w:pPr>
        <w:spacing w:after="0" w:line="480" w:lineRule="auto"/>
        <w:ind w:firstLine="720"/>
        <w:rPr>
          <w:rFonts w:cs="Times New Roman"/>
        </w:rPr>
      </w:pPr>
      <w:r w:rsidRPr="00877D45">
        <w:rPr>
          <w:rFonts w:cs="Times New Roman"/>
        </w:rPr>
        <w:t>where P_ct is the median house price in county c in year t, WFH_ct is the county WFH rate (continuous</w:t>
      </w:r>
      <w:r w:rsidR="009C60E7" w:rsidRPr="00877D45">
        <w:rPr>
          <w:rFonts w:cs="Times New Roman"/>
        </w:rPr>
        <w:t>), are</w:t>
      </w:r>
      <w:r w:rsidRPr="00877D45">
        <w:rPr>
          <w:rFonts w:cs="Times New Roman"/>
        </w:rPr>
        <w:t xml:space="preserve"> county fixed effects, are year fixed effects, and X_ct includes log median income. Standard errors are clustered by county. The reference year is 2019. The coefficients  are year-specific slopes of WFH on log housing price relative to the 2019 baseline. This specification is appropriate for continuous treatments in panel data (Angrist and Pischke 2009; Callaway, Goodman-Bacon, and Sant'Anna 2024). The pre-2019 coefficients (beta_2017, beta_2018) provide a formal parallel trends test; I report a joint chi-squared test of H0: beta_2017 = beta_2018 = 0. I estimate equation (1) separately for Metro-Core and Non-Metro counties to document heterogeneous effects by CBSA tier.</w:t>
      </w:r>
    </w:p>
    <w:p w14:paraId="5A5DEC37" w14:textId="64843F2E" w:rsidR="00702814" w:rsidRPr="00877D45" w:rsidRDefault="00FF6B01" w:rsidP="00FF6B01">
      <w:pPr>
        <w:spacing w:after="0" w:line="480" w:lineRule="auto"/>
        <w:ind w:firstLine="360"/>
        <w:rPr>
          <w:rFonts w:cs="Times New Roman"/>
          <w:b/>
        </w:rPr>
      </w:pPr>
      <w:r w:rsidRPr="00877D45">
        <w:rPr>
          <w:rFonts w:cs="Times New Roman"/>
          <w:b/>
        </w:rPr>
        <w:t>3.</w:t>
      </w:r>
      <w:r w:rsidR="00E8028D" w:rsidRPr="00877D45">
        <w:rPr>
          <w:rFonts w:cs="Times New Roman"/>
          <w:b/>
        </w:rPr>
        <w:t>3</w:t>
      </w:r>
      <w:r w:rsidRPr="00877D45">
        <w:rPr>
          <w:rFonts w:cs="Times New Roman"/>
          <w:b/>
        </w:rPr>
        <w:t xml:space="preserve"> Supporting Method: TWFE with Supply Interaction</w:t>
      </w:r>
    </w:p>
    <w:p w14:paraId="0B81D5FA" w14:textId="6BA45154" w:rsidR="00906C98" w:rsidRPr="00877D45" w:rsidRDefault="00E8028D" w:rsidP="00E8028D">
      <w:pPr>
        <w:spacing w:before="120" w:after="120"/>
        <w:jc w:val="center"/>
        <w:rPr>
          <w:rFonts w:cs="Times New Roman"/>
          <w:szCs w:val="24"/>
        </w:rPr>
      </w:pPr>
      <w:r w:rsidRPr="00877D45">
        <w:rPr>
          <w:rFonts w:cs="Times New Roman"/>
          <w:szCs w:val="24"/>
        </w:rPr>
        <w:t>log(</w:t>
      </w:r>
      <w:proofErr w:type="spellStart"/>
      <w:r w:rsidRPr="00877D45">
        <w:rPr>
          <w:rFonts w:cs="Times New Roman"/>
          <w:szCs w:val="24"/>
        </w:rPr>
        <w:t>P_ct</w:t>
      </w:r>
      <w:proofErr w:type="spellEnd"/>
      <w:r w:rsidRPr="00877D45">
        <w:rPr>
          <w:rFonts w:cs="Times New Roman"/>
          <w:szCs w:val="24"/>
        </w:rPr>
        <w:t>) = β_</w:t>
      </w:r>
      <w:proofErr w:type="gramStart"/>
      <w:r w:rsidRPr="00877D45">
        <w:rPr>
          <w:rFonts w:cs="Times New Roman"/>
          <w:szCs w:val="24"/>
        </w:rPr>
        <w:t>Con(</w:t>
      </w:r>
      <w:proofErr w:type="spellStart"/>
      <w:proofErr w:type="gramEnd"/>
      <w:r w:rsidRPr="00877D45">
        <w:rPr>
          <w:rFonts w:cs="Times New Roman"/>
          <w:szCs w:val="24"/>
        </w:rPr>
        <w:t>WFH_ct</w:t>
      </w:r>
      <w:proofErr w:type="spellEnd"/>
      <w:r w:rsidRPr="00877D45">
        <w:rPr>
          <w:rFonts w:cs="Times New Roman"/>
          <w:szCs w:val="24"/>
        </w:rPr>
        <w:t xml:space="preserve"> × </w:t>
      </w:r>
      <w:proofErr w:type="spellStart"/>
      <w:r w:rsidRPr="00877D45">
        <w:rPr>
          <w:rFonts w:cs="Times New Roman"/>
          <w:szCs w:val="24"/>
        </w:rPr>
        <w:t>Constrained_c</w:t>
      </w:r>
      <w:proofErr w:type="spellEnd"/>
      <w:r w:rsidRPr="00877D45">
        <w:rPr>
          <w:rFonts w:cs="Times New Roman"/>
          <w:szCs w:val="24"/>
        </w:rPr>
        <w:t>) + β_</w:t>
      </w:r>
      <w:proofErr w:type="gramStart"/>
      <w:r w:rsidRPr="00877D45">
        <w:rPr>
          <w:rFonts w:cs="Times New Roman"/>
          <w:szCs w:val="24"/>
        </w:rPr>
        <w:t>Ela(</w:t>
      </w:r>
      <w:proofErr w:type="spellStart"/>
      <w:proofErr w:type="gramEnd"/>
      <w:r w:rsidRPr="00877D45">
        <w:rPr>
          <w:rFonts w:cs="Times New Roman"/>
          <w:szCs w:val="24"/>
        </w:rPr>
        <w:t>WFH_ct</w:t>
      </w:r>
      <w:proofErr w:type="spellEnd"/>
      <w:r w:rsidRPr="00877D45">
        <w:rPr>
          <w:rFonts w:cs="Times New Roman"/>
          <w:szCs w:val="24"/>
        </w:rPr>
        <w:t xml:space="preserve"> × </w:t>
      </w:r>
      <w:proofErr w:type="spellStart"/>
      <w:r w:rsidRPr="00877D45">
        <w:rPr>
          <w:rFonts w:cs="Times New Roman"/>
          <w:szCs w:val="24"/>
        </w:rPr>
        <w:t>Elastic_c</w:t>
      </w:r>
      <w:proofErr w:type="spellEnd"/>
      <w:r w:rsidRPr="00877D45">
        <w:rPr>
          <w:rFonts w:cs="Times New Roman"/>
          <w:szCs w:val="24"/>
        </w:rPr>
        <w:t xml:space="preserve">) + δ </w:t>
      </w:r>
      <w:proofErr w:type="gramStart"/>
      <w:r w:rsidRPr="00877D45">
        <w:rPr>
          <w:rFonts w:cs="Times New Roman"/>
          <w:szCs w:val="24"/>
        </w:rPr>
        <w:t>log(</w:t>
      </w:r>
      <w:proofErr w:type="spellStart"/>
      <w:proofErr w:type="gramEnd"/>
      <w:r w:rsidRPr="00877D45">
        <w:rPr>
          <w:rFonts w:cs="Times New Roman"/>
          <w:szCs w:val="24"/>
        </w:rPr>
        <w:t>Income_ct</w:t>
      </w:r>
      <w:proofErr w:type="spellEnd"/>
      <w:r w:rsidRPr="00877D45">
        <w:rPr>
          <w:rFonts w:cs="Times New Roman"/>
          <w:szCs w:val="24"/>
        </w:rPr>
        <w:t xml:space="preserve">) + α_c + </w:t>
      </w:r>
      <w:proofErr w:type="spellStart"/>
      <w:r w:rsidRPr="00877D45">
        <w:rPr>
          <w:rFonts w:cs="Times New Roman"/>
          <w:szCs w:val="24"/>
        </w:rPr>
        <w:t>γ_t</w:t>
      </w:r>
      <w:proofErr w:type="spellEnd"/>
      <w:r w:rsidRPr="00877D45">
        <w:rPr>
          <w:rFonts w:cs="Times New Roman"/>
          <w:szCs w:val="24"/>
        </w:rPr>
        <w:t xml:space="preserve"> + </w:t>
      </w:r>
      <w:proofErr w:type="spellStart"/>
      <w:r w:rsidRPr="00877D45">
        <w:rPr>
          <w:rFonts w:cs="Times New Roman"/>
          <w:szCs w:val="24"/>
        </w:rPr>
        <w:t>ε_ct</w:t>
      </w:r>
      <w:proofErr w:type="spellEnd"/>
      <w:r w:rsidRPr="00877D45">
        <w:rPr>
          <w:rFonts w:cs="Times New Roman"/>
          <w:szCs w:val="24"/>
        </w:rPr>
        <w:t xml:space="preserve">  </w:t>
      </w:r>
      <w:proofErr w:type="gramStart"/>
      <w:r w:rsidRPr="00877D45">
        <w:rPr>
          <w:rFonts w:cs="Times New Roman"/>
          <w:szCs w:val="24"/>
        </w:rPr>
        <w:t xml:space="preserve">   (</w:t>
      </w:r>
      <w:proofErr w:type="gramEnd"/>
      <w:r w:rsidRPr="00877D45">
        <w:rPr>
          <w:rFonts w:cs="Times New Roman"/>
          <w:szCs w:val="24"/>
        </w:rPr>
        <w:t>3)</w:t>
      </w:r>
    </w:p>
    <w:p w14:paraId="603BE31A" w14:textId="67E40E8D" w:rsidR="00702814" w:rsidRPr="00877D45" w:rsidRDefault="00000000">
      <w:pPr>
        <w:spacing w:after="0" w:line="480" w:lineRule="auto"/>
        <w:ind w:firstLine="720"/>
        <w:rPr>
          <w:rFonts w:cs="Times New Roman"/>
        </w:rPr>
      </w:pPr>
      <w:proofErr w:type="gramStart"/>
      <w:r w:rsidRPr="00877D45">
        <w:rPr>
          <w:rFonts w:cs="Times New Roman"/>
        </w:rPr>
        <w:t>Where</w:t>
      </w:r>
      <w:r w:rsidR="004B3211" w:rsidRPr="00877D45">
        <w:rPr>
          <w:rFonts w:cs="Times New Roman"/>
        </w:rPr>
        <w:t xml:space="preserve">  </w:t>
      </w:r>
      <w:proofErr w:type="spellStart"/>
      <w:r w:rsidR="00E8028D" w:rsidRPr="00877D45">
        <w:rPr>
          <w:rFonts w:cs="Times New Roman"/>
          <w:b/>
          <w:bCs/>
          <w:szCs w:val="24"/>
        </w:rPr>
        <w:t>Constrained</w:t>
      </w:r>
      <w:proofErr w:type="gramEnd"/>
      <w:r w:rsidR="00E8028D" w:rsidRPr="00877D45">
        <w:rPr>
          <w:rFonts w:cs="Times New Roman"/>
          <w:b/>
          <w:bCs/>
          <w:szCs w:val="24"/>
        </w:rPr>
        <w:t>_c</w:t>
      </w:r>
      <w:proofErr w:type="spellEnd"/>
      <w:r w:rsidRPr="00877D45">
        <w:rPr>
          <w:rFonts w:cs="Times New Roman"/>
        </w:rPr>
        <w:t xml:space="preserve"> equals to one for the Metro-cores Counties in the top half of the 2017-2023 price to income ratio distribution, and </w:t>
      </w:r>
      <w:proofErr w:type="spellStart"/>
      <w:r w:rsidR="00E8028D" w:rsidRPr="00877D45">
        <w:rPr>
          <w:rFonts w:cs="Times New Roman"/>
          <w:b/>
          <w:bCs/>
          <w:szCs w:val="24"/>
        </w:rPr>
        <w:t>Elastic_c</w:t>
      </w:r>
      <w:proofErr w:type="spellEnd"/>
      <w:r w:rsidRPr="00877D45">
        <w:rPr>
          <w:rFonts w:cs="Times New Roman"/>
        </w:rPr>
        <w:t xml:space="preserve"> equals to one for counties in the </w:t>
      </w:r>
      <w:r w:rsidRPr="00877D45">
        <w:rPr>
          <w:rFonts w:cs="Times New Roman"/>
        </w:rPr>
        <w:lastRenderedPageBreak/>
        <w:t xml:space="preserve">bottom half. Higher housing price-to-income ratios are interpreted as a proxy for more binding housing supply </w:t>
      </w:r>
      <w:proofErr w:type="spellStart"/>
      <w:proofErr w:type="gramStart"/>
      <w:r w:rsidRPr="00877D45">
        <w:rPr>
          <w:rFonts w:cs="Times New Roman"/>
        </w:rPr>
        <w:t>constrains</w:t>
      </w:r>
      <w:proofErr w:type="spellEnd"/>
      <w:proofErr w:type="gramEnd"/>
      <w:r w:rsidRPr="00877D45">
        <w:rPr>
          <w:rFonts w:cs="Times New Roman"/>
        </w:rPr>
        <w:t>.</w:t>
      </w:r>
      <w:r w:rsidR="00E8028D" w:rsidRPr="00877D45">
        <w:rPr>
          <w:rFonts w:cs="Times New Roman"/>
        </w:rPr>
        <w:t xml:space="preserve"> The P/I threshold is 5.41.</w:t>
      </w:r>
    </w:p>
    <w:p w14:paraId="74845693" w14:textId="7235E939" w:rsidR="00702814" w:rsidRPr="00877D45" w:rsidRDefault="00FF6B01" w:rsidP="00FF6B01">
      <w:pPr>
        <w:spacing w:after="0" w:line="480" w:lineRule="auto"/>
        <w:ind w:firstLine="720"/>
        <w:rPr>
          <w:rFonts w:cs="Times New Roman"/>
        </w:rPr>
      </w:pPr>
      <w:r w:rsidRPr="00877D45">
        <w:rPr>
          <w:rFonts w:cs="Times New Roman"/>
          <w:b/>
        </w:rPr>
        <w:t>3.</w:t>
      </w:r>
      <w:r w:rsidR="00E8028D" w:rsidRPr="00877D45">
        <w:rPr>
          <w:rFonts w:cs="Times New Roman"/>
          <w:b/>
        </w:rPr>
        <w:t>4</w:t>
      </w:r>
      <w:r w:rsidRPr="00877D45">
        <w:rPr>
          <w:rFonts w:cs="Times New Roman"/>
          <w:b/>
        </w:rPr>
        <w:t xml:space="preserve"> Identification</w:t>
      </w:r>
    </w:p>
    <w:p w14:paraId="13FA4874" w14:textId="75818E91" w:rsidR="00702814" w:rsidRPr="00877D45" w:rsidRDefault="00000000">
      <w:pPr>
        <w:spacing w:after="0" w:line="480" w:lineRule="auto"/>
        <w:ind w:firstLine="720"/>
        <w:rPr>
          <w:rFonts w:cs="Times New Roman"/>
        </w:rPr>
      </w:pPr>
      <w:r w:rsidRPr="00877D45">
        <w:rPr>
          <w:rFonts w:cs="Times New Roman"/>
        </w:rPr>
        <w:t>The key identification assumption is the parallel trends under continuous treatment: in the absence of WFH shock, counties with different WFH rate would have followed similar housing price trajectories. The formal test shows that with chi-</w:t>
      </w:r>
      <w:proofErr w:type="gramStart"/>
      <w:r w:rsidRPr="00877D45">
        <w:rPr>
          <w:rFonts w:cs="Times New Roman"/>
        </w:rPr>
        <w:t>squared  =</w:t>
      </w:r>
      <w:proofErr w:type="gramEnd"/>
      <w:r w:rsidR="00E8028D" w:rsidRPr="00877D45">
        <w:rPr>
          <w:rFonts w:cs="Times New Roman"/>
        </w:rPr>
        <w:t>1.85</w:t>
      </w:r>
      <w:r w:rsidRPr="00877D45">
        <w:rPr>
          <w:rFonts w:cs="Times New Roman"/>
        </w:rPr>
        <w:t xml:space="preserve">, and </w:t>
      </w:r>
      <w:proofErr w:type="spellStart"/>
      <w:r w:rsidRPr="00877D45">
        <w:rPr>
          <w:rFonts w:cs="Times New Roman"/>
        </w:rPr>
        <w:t>p_value</w:t>
      </w:r>
      <w:proofErr w:type="spellEnd"/>
      <w:r w:rsidRPr="00877D45">
        <w:rPr>
          <w:rFonts w:cs="Times New Roman"/>
        </w:rPr>
        <w:t xml:space="preserve"> =0.</w:t>
      </w:r>
      <w:r w:rsidR="00E8028D" w:rsidRPr="00877D45">
        <w:rPr>
          <w:rFonts w:cs="Times New Roman"/>
        </w:rPr>
        <w:t>4</w:t>
      </w:r>
      <w:r w:rsidRPr="00877D45">
        <w:rPr>
          <w:rFonts w:cs="Times New Roman"/>
        </w:rPr>
        <w:t>, so I fail to reject the H0: beta_2017 = beta_2018 = 0. This provides no evidence of differential pre-trends, supporting the parallel trend assumption.</w:t>
      </w:r>
    </w:p>
    <w:p w14:paraId="03BA5825" w14:textId="41176039" w:rsidR="00702814" w:rsidRPr="00877D45" w:rsidRDefault="00000000">
      <w:pPr>
        <w:spacing w:after="0" w:line="480" w:lineRule="auto"/>
        <w:ind w:firstLine="720"/>
        <w:rPr>
          <w:rFonts w:cs="Times New Roman"/>
        </w:rPr>
      </w:pPr>
      <w:r w:rsidRPr="00877D45">
        <w:rPr>
          <w:rFonts w:cs="Times New Roman"/>
        </w:rPr>
        <w:t xml:space="preserve">The most threat to identification is endogeneity of WFH. High-WFH counties such as Santa Clara, San Francisco, etc. may have simultaneously experienced stronger income growth and tech-sector demand, which independently affects housing prices. I address this problem in three ways. First, I include median household income as the control variable to absorb income shocks that may be correlated with both WFH rate and housing prices. Second, I use a pre-determined WFH measure by </w:t>
      </w:r>
      <w:proofErr w:type="gramStart"/>
      <w:r w:rsidRPr="00877D45">
        <w:rPr>
          <w:rFonts w:cs="Times New Roman"/>
        </w:rPr>
        <w:t>interacting</w:t>
      </w:r>
      <w:proofErr w:type="gramEnd"/>
      <w:r w:rsidRPr="00877D45">
        <w:rPr>
          <w:rFonts w:cs="Times New Roman"/>
        </w:rPr>
        <w:t xml:space="preserve"> the 2019 W</w:t>
      </w:r>
      <w:r w:rsidR="0098012B" w:rsidRPr="00877D45">
        <w:rPr>
          <w:rFonts w:cs="Times New Roman"/>
        </w:rPr>
        <w:t>FH</w:t>
      </w:r>
      <w:r w:rsidRPr="00877D45">
        <w:rPr>
          <w:rFonts w:cs="Times New Roman"/>
        </w:rPr>
        <w:t xml:space="preserve"> rate with a post-2020 indicator. This captures pre-existing industry composition and helps rule out reverse causality.</w:t>
      </w:r>
      <w:r w:rsidR="00BA53FE" w:rsidRPr="00877D45">
        <w:rPr>
          <w:rFonts w:cs="Times New Roman"/>
        </w:rPr>
        <w:t xml:space="preserve"> </w:t>
      </w:r>
      <w:r w:rsidRPr="00877D45">
        <w:rPr>
          <w:rFonts w:cs="Times New Roman"/>
        </w:rPr>
        <w:t>Finally, I apply Frisch-Waugh detrending to remove county-specific secular trends before estimating TWFE model, which absorbs differential tech-sector or demographic trends across counties.</w:t>
      </w:r>
    </w:p>
    <w:p w14:paraId="1ED43A4B" w14:textId="21780F33" w:rsidR="00702814" w:rsidRPr="00877D45" w:rsidRDefault="00000000" w:rsidP="00F425BB">
      <w:pPr>
        <w:pStyle w:val="ListParagraph"/>
        <w:numPr>
          <w:ilvl w:val="0"/>
          <w:numId w:val="11"/>
        </w:numPr>
        <w:spacing w:after="0" w:line="480" w:lineRule="auto"/>
        <w:rPr>
          <w:rFonts w:cs="Times New Roman"/>
        </w:rPr>
      </w:pPr>
      <w:r w:rsidRPr="00877D45">
        <w:rPr>
          <w:rFonts w:cs="Times New Roman"/>
          <w:b/>
        </w:rPr>
        <w:t>Results</w:t>
      </w:r>
    </w:p>
    <w:p w14:paraId="4ECD0139" w14:textId="5D2580F6" w:rsidR="00702814" w:rsidRPr="00877D45" w:rsidRDefault="00FF6B01" w:rsidP="00FF6B01">
      <w:pPr>
        <w:spacing w:after="0" w:line="480" w:lineRule="auto"/>
        <w:ind w:firstLine="360"/>
        <w:rPr>
          <w:rFonts w:cs="Times New Roman"/>
        </w:rPr>
      </w:pPr>
      <w:r w:rsidRPr="00877D45">
        <w:rPr>
          <w:rFonts w:cs="Times New Roman"/>
          <w:b/>
        </w:rPr>
        <w:t>4.1 Descriptive Evidence</w:t>
      </w:r>
    </w:p>
    <w:p w14:paraId="29B4C778" w14:textId="77777777" w:rsidR="00702814" w:rsidRPr="00877D45" w:rsidRDefault="00000000">
      <w:pPr>
        <w:spacing w:after="0" w:line="480" w:lineRule="auto"/>
        <w:jc w:val="center"/>
        <w:rPr>
          <w:rFonts w:cs="Times New Roman"/>
        </w:rPr>
      </w:pPr>
      <w:r w:rsidRPr="00877D45">
        <w:rPr>
          <w:rFonts w:cs="Times New Roman"/>
          <w:noProof/>
        </w:rPr>
        <w:lastRenderedPageBreak/>
        <w:drawing>
          <wp:inline distT="0" distB="0" distL="0" distR="0" wp14:anchorId="08E80C7E" wp14:editId="4933ED21">
            <wp:extent cx="5486400" cy="20992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_figure1.png"/>
                    <pic:cNvPicPr/>
                  </pic:nvPicPr>
                  <pic:blipFill>
                    <a:blip r:embed="rId6"/>
                    <a:stretch>
                      <a:fillRect/>
                    </a:stretch>
                  </pic:blipFill>
                  <pic:spPr>
                    <a:xfrm>
                      <a:off x="0" y="0"/>
                      <a:ext cx="5486400" cy="2099243"/>
                    </a:xfrm>
                    <a:prstGeom prst="rect">
                      <a:avLst/>
                    </a:prstGeom>
                  </pic:spPr>
                </pic:pic>
              </a:graphicData>
            </a:graphic>
          </wp:inline>
        </w:drawing>
      </w:r>
    </w:p>
    <w:p w14:paraId="32D38D29" w14:textId="3E6F8FF4" w:rsidR="00702814" w:rsidRPr="00877D45" w:rsidRDefault="00000000" w:rsidP="00DE6585">
      <w:pPr>
        <w:spacing w:after="0" w:line="480" w:lineRule="auto"/>
        <w:jc w:val="center"/>
        <w:rPr>
          <w:rFonts w:cs="Times New Roman"/>
        </w:rPr>
      </w:pPr>
      <w:r w:rsidRPr="00877D45">
        <w:rPr>
          <w:rFonts w:cs="Times New Roman"/>
        </w:rPr>
        <w:t>Figure 1</w:t>
      </w:r>
      <w:r w:rsidR="00DE6585" w:rsidRPr="00877D45">
        <w:rPr>
          <w:rFonts w:cs="Times New Roman"/>
        </w:rPr>
        <w:t xml:space="preserve"> </w:t>
      </w:r>
      <w:r w:rsidRPr="00877D45">
        <w:rPr>
          <w:rFonts w:cs="Times New Roman"/>
          <w:i/>
        </w:rPr>
        <w:t>Descriptive Trends by CBSA Tier</w:t>
      </w:r>
    </w:p>
    <w:p w14:paraId="78DB235A" w14:textId="77777777" w:rsidR="00702814" w:rsidRPr="00877D45" w:rsidRDefault="00000000">
      <w:pPr>
        <w:spacing w:after="0" w:line="480" w:lineRule="auto"/>
        <w:ind w:firstLine="720"/>
        <w:rPr>
          <w:rFonts w:cs="Times New Roman"/>
        </w:rPr>
      </w:pPr>
      <w:r w:rsidRPr="00877D45">
        <w:rPr>
          <w:rFonts w:cs="Times New Roman"/>
        </w:rPr>
        <w:t>Figure 1 shows WFH rate trends and log housing price trends by CBSA tier from 2017 to 2023. Between 2019 and 2023, the average WFH rate in Metro-core counties rose from 5.8% to 15% (+ 9 pp), compared with 8.2% to 12.2% (+4 pp). The difference mainly comes from an increase in WFH rate in Metro areas such as San Francsico, Santa Clara and Los Angeles where there are many tech giants.</w:t>
      </w:r>
    </w:p>
    <w:p w14:paraId="09E81C26" w14:textId="61A675CE" w:rsidR="00702814" w:rsidRPr="00877D45" w:rsidRDefault="00000000">
      <w:pPr>
        <w:spacing w:after="0" w:line="480" w:lineRule="auto"/>
        <w:ind w:firstLine="720"/>
        <w:rPr>
          <w:rFonts w:cs="Times New Roman"/>
        </w:rPr>
      </w:pPr>
      <w:r w:rsidRPr="00877D45">
        <w:rPr>
          <w:rFonts w:cs="Times New Roman"/>
        </w:rPr>
        <w:t xml:space="preserve">Housing across </w:t>
      </w:r>
      <w:r w:rsidR="00FE6FC8" w:rsidRPr="00877D45">
        <w:rPr>
          <w:rFonts w:cs="Times New Roman"/>
        </w:rPr>
        <w:t>m</w:t>
      </w:r>
      <w:r w:rsidRPr="00877D45">
        <w:rPr>
          <w:rFonts w:cs="Times New Roman"/>
        </w:rPr>
        <w:t xml:space="preserve">etro and non-metro areas rose sharply from 2019 to 2023. While the log housing price in metro area rose from 13.2 to </w:t>
      </w:r>
      <w:proofErr w:type="gramStart"/>
      <w:r w:rsidRPr="00877D45">
        <w:rPr>
          <w:rFonts w:cs="Times New Roman"/>
        </w:rPr>
        <w:t>13.5 ,</w:t>
      </w:r>
      <w:proofErr w:type="gramEnd"/>
      <w:r w:rsidRPr="00877D45">
        <w:rPr>
          <w:rFonts w:cs="Times New Roman"/>
        </w:rPr>
        <w:t xml:space="preserve"> </w:t>
      </w:r>
      <w:r w:rsidR="00DB3FEB">
        <w:rPr>
          <w:rFonts w:cs="Times New Roman"/>
        </w:rPr>
        <w:t>the</w:t>
      </w:r>
      <w:r w:rsidRPr="00877D45">
        <w:rPr>
          <w:rFonts w:cs="Times New Roman"/>
        </w:rPr>
        <w:t xml:space="preserve"> non-metro </w:t>
      </w:r>
      <w:r w:rsidR="00DB3FEB">
        <w:rPr>
          <w:rFonts w:cs="Times New Roman"/>
        </w:rPr>
        <w:t>average</w:t>
      </w:r>
      <w:r w:rsidRPr="00877D45">
        <w:rPr>
          <w:rFonts w:cs="Times New Roman"/>
        </w:rPr>
        <w:t xml:space="preserve"> rose from 12.3 to 12.8. However, Metro-Core counties show notably slower appreciation relative to their 2017-2019 trend compared to Non-Metro counties, consistent with WFH-driven demand reallocation away from metro cores.</w:t>
      </w:r>
    </w:p>
    <w:p w14:paraId="288C9960" w14:textId="51DCB596" w:rsidR="00702814" w:rsidRPr="00877D45" w:rsidRDefault="00FF6B01" w:rsidP="00FF6B01">
      <w:pPr>
        <w:spacing w:after="0" w:line="480" w:lineRule="auto"/>
        <w:ind w:firstLine="720"/>
        <w:rPr>
          <w:rFonts w:cs="Times New Roman"/>
        </w:rPr>
      </w:pPr>
      <w:r w:rsidRPr="00877D45">
        <w:rPr>
          <w:rFonts w:cs="Times New Roman"/>
          <w:b/>
        </w:rPr>
        <w:t>4.</w:t>
      </w:r>
      <w:r w:rsidR="00F425BB" w:rsidRPr="00877D45">
        <w:rPr>
          <w:rFonts w:cs="Times New Roman"/>
          <w:b/>
        </w:rPr>
        <w:t xml:space="preserve">2 </w:t>
      </w:r>
      <w:r w:rsidRPr="00877D45">
        <w:rPr>
          <w:rFonts w:cs="Times New Roman"/>
          <w:b/>
        </w:rPr>
        <w:t>Main TWFE Results</w:t>
      </w:r>
    </w:p>
    <w:p w14:paraId="34E4BADD" w14:textId="68735E05" w:rsidR="00702814" w:rsidRPr="00877D45" w:rsidRDefault="00000000">
      <w:pPr>
        <w:spacing w:after="0" w:line="480" w:lineRule="auto"/>
        <w:ind w:firstLine="720"/>
        <w:rPr>
          <w:rFonts w:cs="Times New Roman"/>
        </w:rPr>
      </w:pPr>
      <w:r w:rsidRPr="00877D45">
        <w:rPr>
          <w:rFonts w:cs="Times New Roman"/>
        </w:rPr>
        <w:t>Table 2 reports the TWFE estimates for both Metro-Core and Non-Metro counties. In Metro-Core counties, the baseline specification yields a coefficient of −1.22</w:t>
      </w:r>
      <w:r w:rsidR="00F971C0">
        <w:rPr>
          <w:rFonts w:cs="Times New Roman"/>
        </w:rPr>
        <w:t>9</w:t>
      </w:r>
      <w:r w:rsidRPr="00877D45">
        <w:rPr>
          <w:rFonts w:cs="Times New Roman"/>
        </w:rPr>
        <w:t xml:space="preserve">%, indicating that a 1 percentage point increase in the WFH </w:t>
      </w:r>
      <w:r w:rsidR="002D6DB2" w:rsidRPr="00877D45">
        <w:rPr>
          <w:rFonts w:cs="Times New Roman"/>
        </w:rPr>
        <w:t>rate</w:t>
      </w:r>
      <w:r w:rsidRPr="00877D45">
        <w:rPr>
          <w:rFonts w:cs="Times New Roman"/>
        </w:rPr>
        <w:t xml:space="preserve"> is associated with a 1.22</w:t>
      </w:r>
      <w:r w:rsidR="00F971C0">
        <w:rPr>
          <w:rFonts w:cs="Times New Roman"/>
        </w:rPr>
        <w:t>9</w:t>
      </w:r>
      <w:r w:rsidRPr="00877D45">
        <w:rPr>
          <w:rFonts w:cs="Times New Roman"/>
        </w:rPr>
        <w:t>% decrease in housing prices. This effect is statistically significant at the 1% level.</w:t>
      </w:r>
    </w:p>
    <w:p w14:paraId="2265BE55" w14:textId="724BB36A" w:rsidR="00702814" w:rsidRPr="00877D45" w:rsidRDefault="00000000" w:rsidP="00FE6FC8">
      <w:pPr>
        <w:spacing w:after="0" w:line="480" w:lineRule="auto"/>
        <w:ind w:firstLine="720"/>
        <w:rPr>
          <w:rFonts w:cs="Times New Roman"/>
        </w:rPr>
      </w:pPr>
      <w:r w:rsidRPr="00877D45">
        <w:rPr>
          <w:rFonts w:cs="Times New Roman"/>
        </w:rPr>
        <w:lastRenderedPageBreak/>
        <w:t xml:space="preserve">In </w:t>
      </w:r>
      <w:r w:rsidR="00F971C0">
        <w:rPr>
          <w:rFonts w:cs="Times New Roman"/>
        </w:rPr>
        <w:t>addition</w:t>
      </w:r>
      <w:r w:rsidRPr="00877D45">
        <w:rPr>
          <w:rFonts w:cs="Times New Roman"/>
        </w:rPr>
        <w:t xml:space="preserve">, the coefficient for </w:t>
      </w:r>
      <w:proofErr w:type="gramStart"/>
      <w:r w:rsidRPr="00877D45">
        <w:rPr>
          <w:rFonts w:cs="Times New Roman"/>
        </w:rPr>
        <w:t>Non-Metro</w:t>
      </w:r>
      <w:proofErr w:type="gramEnd"/>
      <w:r w:rsidRPr="00877D45">
        <w:rPr>
          <w:rFonts w:cs="Times New Roman"/>
        </w:rPr>
        <w:t xml:space="preserve"> counties </w:t>
      </w:r>
      <w:proofErr w:type="gramStart"/>
      <w:r w:rsidRPr="00877D45">
        <w:rPr>
          <w:rFonts w:cs="Times New Roman"/>
        </w:rPr>
        <w:t>is</w:t>
      </w:r>
      <w:proofErr w:type="gramEnd"/>
      <w:r w:rsidRPr="00877D45">
        <w:rPr>
          <w:rFonts w:cs="Times New Roman"/>
        </w:rPr>
        <w:t xml:space="preserve"> </w:t>
      </w:r>
      <w:r w:rsidR="00F971C0">
        <w:rPr>
          <w:rFonts w:cs="Times New Roman"/>
        </w:rPr>
        <w:t>also nega</w:t>
      </w:r>
      <w:r w:rsidRPr="00877D45">
        <w:rPr>
          <w:rFonts w:cs="Times New Roman"/>
        </w:rPr>
        <w:t xml:space="preserve">tive </w:t>
      </w:r>
      <w:r w:rsidR="00A71A76">
        <w:rPr>
          <w:rFonts w:cs="Times New Roman"/>
        </w:rPr>
        <w:t>(-</w:t>
      </w:r>
      <w:r w:rsidR="00F971C0">
        <w:rPr>
          <w:rFonts w:cs="Times New Roman"/>
        </w:rPr>
        <w:t>0.</w:t>
      </w:r>
      <w:r w:rsidR="00A71A76">
        <w:rPr>
          <w:rFonts w:cs="Times New Roman"/>
        </w:rPr>
        <w:t>638</w:t>
      </w:r>
      <w:r w:rsidRPr="00877D45">
        <w:rPr>
          <w:rFonts w:cs="Times New Roman"/>
        </w:rPr>
        <w:t xml:space="preserve">%) </w:t>
      </w:r>
      <w:r w:rsidR="00F971C0">
        <w:rPr>
          <w:rFonts w:cs="Times New Roman"/>
        </w:rPr>
        <w:t xml:space="preserve">and </w:t>
      </w:r>
      <w:r w:rsidRPr="00877D45">
        <w:rPr>
          <w:rFonts w:cs="Times New Roman"/>
        </w:rPr>
        <w:t xml:space="preserve">statistically significant. This </w:t>
      </w:r>
      <w:r w:rsidR="00F971C0">
        <w:rPr>
          <w:rFonts w:cs="Times New Roman"/>
        </w:rPr>
        <w:t>result</w:t>
      </w:r>
      <w:r w:rsidRPr="00877D45">
        <w:rPr>
          <w:rFonts w:cs="Times New Roman"/>
        </w:rPr>
        <w:t xml:space="preserve"> raises concerns that increased WFH adoption may lead workers to migrate out of state rather than simply relocating to more affordable areas within California.</w:t>
      </w:r>
    </w:p>
    <w:tbl>
      <w:tblPr>
        <w:tblStyle w:val="TableGrid"/>
        <w:tblW w:w="0" w:type="auto"/>
        <w:jc w:val="center"/>
        <w:tblLook w:val="04A0" w:firstRow="1" w:lastRow="0" w:firstColumn="1" w:lastColumn="0" w:noHBand="0" w:noVBand="1"/>
      </w:tblPr>
      <w:tblGrid>
        <w:gridCol w:w="3384"/>
        <w:gridCol w:w="1224"/>
        <w:gridCol w:w="936"/>
        <w:gridCol w:w="720"/>
        <w:gridCol w:w="1512"/>
        <w:gridCol w:w="936"/>
        <w:gridCol w:w="720"/>
      </w:tblGrid>
      <w:tr w:rsidR="002D6DB2" w:rsidRPr="00877D45" w14:paraId="2DFE6D29" w14:textId="77777777" w:rsidTr="00E644E7">
        <w:trPr>
          <w:jc w:val="center"/>
        </w:trPr>
        <w:tc>
          <w:tcPr>
            <w:tcW w:w="3384" w:type="dxa"/>
            <w:shd w:val="clear" w:color="auto" w:fill="D0D8E4"/>
            <w:vAlign w:val="center"/>
          </w:tcPr>
          <w:p w14:paraId="3E78DDED" w14:textId="77777777" w:rsidR="002D6DB2" w:rsidRPr="00877D45" w:rsidRDefault="002D6DB2" w:rsidP="00E644E7">
            <w:pPr>
              <w:spacing w:before="40" w:after="40"/>
              <w:jc w:val="center"/>
              <w:rPr>
                <w:rFonts w:cs="Times New Roman"/>
              </w:rPr>
            </w:pPr>
            <w:r w:rsidRPr="00877D45">
              <w:rPr>
                <w:rFonts w:cs="Times New Roman"/>
                <w:b/>
                <w:sz w:val="20"/>
              </w:rPr>
              <w:t>Specification</w:t>
            </w:r>
          </w:p>
        </w:tc>
        <w:tc>
          <w:tcPr>
            <w:tcW w:w="1224" w:type="dxa"/>
            <w:shd w:val="clear" w:color="auto" w:fill="D0D8E4"/>
            <w:vAlign w:val="center"/>
          </w:tcPr>
          <w:p w14:paraId="3DE6B254" w14:textId="77777777" w:rsidR="002D6DB2" w:rsidRPr="00877D45" w:rsidRDefault="002D6DB2" w:rsidP="00E644E7">
            <w:pPr>
              <w:spacing w:before="40" w:after="40"/>
              <w:jc w:val="center"/>
              <w:rPr>
                <w:rFonts w:cs="Times New Roman"/>
              </w:rPr>
            </w:pPr>
            <w:r w:rsidRPr="00877D45">
              <w:rPr>
                <w:rFonts w:cs="Times New Roman"/>
                <w:b/>
                <w:sz w:val="20"/>
              </w:rPr>
              <w:t>Metro Coef (%)</w:t>
            </w:r>
          </w:p>
        </w:tc>
        <w:tc>
          <w:tcPr>
            <w:tcW w:w="936" w:type="dxa"/>
            <w:shd w:val="clear" w:color="auto" w:fill="D0D8E4"/>
            <w:vAlign w:val="center"/>
          </w:tcPr>
          <w:p w14:paraId="56540333" w14:textId="77777777" w:rsidR="002D6DB2" w:rsidRPr="00877D45" w:rsidRDefault="002D6DB2" w:rsidP="00E644E7">
            <w:pPr>
              <w:spacing w:before="40" w:after="40"/>
              <w:jc w:val="center"/>
              <w:rPr>
                <w:rFonts w:cs="Times New Roman"/>
              </w:rPr>
            </w:pPr>
            <w:r w:rsidRPr="00877D45">
              <w:rPr>
                <w:rFonts w:cs="Times New Roman"/>
                <w:b/>
                <w:sz w:val="20"/>
              </w:rPr>
              <w:t>SE (%)</w:t>
            </w:r>
          </w:p>
        </w:tc>
        <w:tc>
          <w:tcPr>
            <w:tcW w:w="720" w:type="dxa"/>
            <w:shd w:val="clear" w:color="auto" w:fill="D0D8E4"/>
            <w:vAlign w:val="center"/>
          </w:tcPr>
          <w:p w14:paraId="700BAEB1" w14:textId="77777777" w:rsidR="002D6DB2" w:rsidRPr="00877D45" w:rsidRDefault="002D6DB2" w:rsidP="00E644E7">
            <w:pPr>
              <w:spacing w:before="40" w:after="40"/>
              <w:jc w:val="center"/>
              <w:rPr>
                <w:rFonts w:cs="Times New Roman"/>
              </w:rPr>
            </w:pPr>
            <w:r w:rsidRPr="00877D45">
              <w:rPr>
                <w:rFonts w:cs="Times New Roman"/>
                <w:b/>
                <w:sz w:val="20"/>
              </w:rPr>
              <w:t>Sig.</w:t>
            </w:r>
          </w:p>
        </w:tc>
        <w:tc>
          <w:tcPr>
            <w:tcW w:w="1512" w:type="dxa"/>
            <w:shd w:val="clear" w:color="auto" w:fill="D0D8E4"/>
            <w:vAlign w:val="center"/>
          </w:tcPr>
          <w:p w14:paraId="0B399D1D" w14:textId="77777777" w:rsidR="002D6DB2" w:rsidRPr="00877D45" w:rsidRDefault="002D6DB2" w:rsidP="00E644E7">
            <w:pPr>
              <w:spacing w:before="40" w:after="40"/>
              <w:jc w:val="center"/>
              <w:rPr>
                <w:rFonts w:cs="Times New Roman"/>
              </w:rPr>
            </w:pPr>
            <w:r w:rsidRPr="00877D45">
              <w:rPr>
                <w:rFonts w:cs="Times New Roman"/>
                <w:b/>
                <w:sz w:val="20"/>
              </w:rPr>
              <w:t>Non-Metro Coef (%)</w:t>
            </w:r>
          </w:p>
        </w:tc>
        <w:tc>
          <w:tcPr>
            <w:tcW w:w="936" w:type="dxa"/>
            <w:shd w:val="clear" w:color="auto" w:fill="D0D8E4"/>
            <w:vAlign w:val="center"/>
          </w:tcPr>
          <w:p w14:paraId="3C4D08B9" w14:textId="77777777" w:rsidR="002D6DB2" w:rsidRPr="00877D45" w:rsidRDefault="002D6DB2" w:rsidP="00E644E7">
            <w:pPr>
              <w:spacing w:before="40" w:after="40"/>
              <w:jc w:val="center"/>
              <w:rPr>
                <w:rFonts w:cs="Times New Roman"/>
              </w:rPr>
            </w:pPr>
            <w:r w:rsidRPr="00877D45">
              <w:rPr>
                <w:rFonts w:cs="Times New Roman"/>
                <w:b/>
                <w:sz w:val="20"/>
              </w:rPr>
              <w:t>SE (%)</w:t>
            </w:r>
          </w:p>
        </w:tc>
        <w:tc>
          <w:tcPr>
            <w:tcW w:w="720" w:type="dxa"/>
            <w:shd w:val="clear" w:color="auto" w:fill="D0D8E4"/>
            <w:vAlign w:val="center"/>
          </w:tcPr>
          <w:p w14:paraId="72547AF8" w14:textId="77777777" w:rsidR="002D6DB2" w:rsidRPr="00877D45" w:rsidRDefault="002D6DB2" w:rsidP="00E644E7">
            <w:pPr>
              <w:spacing w:before="40" w:after="40"/>
              <w:jc w:val="center"/>
              <w:rPr>
                <w:rFonts w:cs="Times New Roman"/>
              </w:rPr>
            </w:pPr>
            <w:r w:rsidRPr="00877D45">
              <w:rPr>
                <w:rFonts w:cs="Times New Roman"/>
                <w:b/>
                <w:sz w:val="20"/>
              </w:rPr>
              <w:t>Sig.</w:t>
            </w:r>
          </w:p>
        </w:tc>
      </w:tr>
      <w:tr w:rsidR="002D6DB2" w:rsidRPr="00877D45" w14:paraId="102580FD" w14:textId="77777777" w:rsidTr="00E644E7">
        <w:trPr>
          <w:jc w:val="center"/>
        </w:trPr>
        <w:tc>
          <w:tcPr>
            <w:tcW w:w="3384" w:type="dxa"/>
            <w:vAlign w:val="center"/>
          </w:tcPr>
          <w:p w14:paraId="14AE9B7C" w14:textId="77777777" w:rsidR="002D6DB2" w:rsidRPr="00877D45" w:rsidRDefault="002D6DB2" w:rsidP="00E644E7">
            <w:pPr>
              <w:spacing w:before="20" w:after="20"/>
              <w:rPr>
                <w:rFonts w:cs="Times New Roman"/>
              </w:rPr>
            </w:pPr>
            <w:r w:rsidRPr="00877D45">
              <w:rPr>
                <w:rFonts w:cs="Times New Roman"/>
                <w:sz w:val="20"/>
              </w:rPr>
              <w:t>(1) Baseline TWFE</w:t>
            </w:r>
          </w:p>
        </w:tc>
        <w:tc>
          <w:tcPr>
            <w:tcW w:w="1224" w:type="dxa"/>
            <w:vAlign w:val="center"/>
          </w:tcPr>
          <w:p w14:paraId="098F9282" w14:textId="77777777" w:rsidR="002D6DB2" w:rsidRPr="00877D45" w:rsidRDefault="002D6DB2" w:rsidP="00E644E7">
            <w:pPr>
              <w:spacing w:before="20" w:after="20"/>
              <w:jc w:val="center"/>
              <w:rPr>
                <w:rFonts w:cs="Times New Roman"/>
              </w:rPr>
            </w:pPr>
            <w:r w:rsidRPr="00877D45">
              <w:rPr>
                <w:rFonts w:cs="Times New Roman"/>
                <w:sz w:val="20"/>
              </w:rPr>
              <w:t>−1.229</w:t>
            </w:r>
          </w:p>
        </w:tc>
        <w:tc>
          <w:tcPr>
            <w:tcW w:w="936" w:type="dxa"/>
            <w:vAlign w:val="center"/>
          </w:tcPr>
          <w:p w14:paraId="63F42A04" w14:textId="77777777" w:rsidR="002D6DB2" w:rsidRPr="00877D45" w:rsidRDefault="002D6DB2" w:rsidP="00E644E7">
            <w:pPr>
              <w:spacing w:before="20" w:after="20"/>
              <w:jc w:val="center"/>
              <w:rPr>
                <w:rFonts w:cs="Times New Roman"/>
              </w:rPr>
            </w:pPr>
            <w:r w:rsidRPr="00877D45">
              <w:rPr>
                <w:rFonts w:cs="Times New Roman"/>
                <w:sz w:val="20"/>
              </w:rPr>
              <w:t>0.336</w:t>
            </w:r>
          </w:p>
        </w:tc>
        <w:tc>
          <w:tcPr>
            <w:tcW w:w="720" w:type="dxa"/>
            <w:vAlign w:val="center"/>
          </w:tcPr>
          <w:p w14:paraId="28FCBC69" w14:textId="77777777" w:rsidR="002D6DB2" w:rsidRPr="00877D45" w:rsidRDefault="002D6DB2" w:rsidP="00E644E7">
            <w:pPr>
              <w:spacing w:before="20" w:after="20"/>
              <w:jc w:val="center"/>
              <w:rPr>
                <w:rFonts w:cs="Times New Roman"/>
              </w:rPr>
            </w:pPr>
            <w:r w:rsidRPr="00877D45">
              <w:rPr>
                <w:rFonts w:cs="Times New Roman"/>
                <w:sz w:val="20"/>
              </w:rPr>
              <w:t>***</w:t>
            </w:r>
          </w:p>
        </w:tc>
        <w:tc>
          <w:tcPr>
            <w:tcW w:w="1512" w:type="dxa"/>
            <w:vAlign w:val="center"/>
          </w:tcPr>
          <w:p w14:paraId="02D4E3A3" w14:textId="77777777" w:rsidR="002D6DB2" w:rsidRPr="00877D45" w:rsidRDefault="002D6DB2" w:rsidP="00E644E7">
            <w:pPr>
              <w:spacing w:before="20" w:after="20"/>
              <w:jc w:val="center"/>
              <w:rPr>
                <w:rFonts w:cs="Times New Roman"/>
              </w:rPr>
            </w:pPr>
            <w:r w:rsidRPr="00877D45">
              <w:rPr>
                <w:rFonts w:cs="Times New Roman"/>
                <w:sz w:val="20"/>
              </w:rPr>
              <w:t>−0.638</w:t>
            </w:r>
          </w:p>
        </w:tc>
        <w:tc>
          <w:tcPr>
            <w:tcW w:w="936" w:type="dxa"/>
            <w:vAlign w:val="center"/>
          </w:tcPr>
          <w:p w14:paraId="3C2D8F60" w14:textId="77777777" w:rsidR="002D6DB2" w:rsidRPr="00877D45" w:rsidRDefault="002D6DB2" w:rsidP="00E644E7">
            <w:pPr>
              <w:spacing w:before="20" w:after="20"/>
              <w:jc w:val="center"/>
              <w:rPr>
                <w:rFonts w:cs="Times New Roman"/>
              </w:rPr>
            </w:pPr>
            <w:r w:rsidRPr="00877D45">
              <w:rPr>
                <w:rFonts w:cs="Times New Roman"/>
                <w:sz w:val="20"/>
              </w:rPr>
              <w:t>0.189</w:t>
            </w:r>
          </w:p>
        </w:tc>
        <w:tc>
          <w:tcPr>
            <w:tcW w:w="720" w:type="dxa"/>
            <w:vAlign w:val="center"/>
          </w:tcPr>
          <w:p w14:paraId="3AE22155" w14:textId="77777777" w:rsidR="002D6DB2" w:rsidRPr="00877D45" w:rsidRDefault="002D6DB2" w:rsidP="00E644E7">
            <w:pPr>
              <w:spacing w:before="20" w:after="20"/>
              <w:jc w:val="center"/>
              <w:rPr>
                <w:rFonts w:cs="Times New Roman"/>
              </w:rPr>
            </w:pPr>
            <w:r w:rsidRPr="00877D45">
              <w:rPr>
                <w:rFonts w:cs="Times New Roman"/>
                <w:sz w:val="20"/>
              </w:rPr>
              <w:t>***</w:t>
            </w:r>
          </w:p>
        </w:tc>
      </w:tr>
      <w:tr w:rsidR="002D6DB2" w:rsidRPr="00877D45" w14:paraId="228F81D6" w14:textId="77777777" w:rsidTr="00E644E7">
        <w:trPr>
          <w:jc w:val="center"/>
        </w:trPr>
        <w:tc>
          <w:tcPr>
            <w:tcW w:w="3384" w:type="dxa"/>
            <w:vAlign w:val="center"/>
          </w:tcPr>
          <w:p w14:paraId="09D22BDA" w14:textId="77777777" w:rsidR="002D6DB2" w:rsidRPr="00877D45" w:rsidRDefault="002D6DB2" w:rsidP="00E644E7">
            <w:pPr>
              <w:spacing w:before="20" w:after="20"/>
              <w:rPr>
                <w:rFonts w:cs="Times New Roman"/>
              </w:rPr>
            </w:pPr>
            <w:r w:rsidRPr="00877D45">
              <w:rPr>
                <w:rFonts w:cs="Times New Roman"/>
                <w:sz w:val="20"/>
              </w:rPr>
              <w:t xml:space="preserve">(2) + </w:t>
            </w:r>
            <w:proofErr w:type="gramStart"/>
            <w:r w:rsidRPr="00877D45">
              <w:rPr>
                <w:rFonts w:cs="Times New Roman"/>
                <w:sz w:val="20"/>
              </w:rPr>
              <w:t>log(</w:t>
            </w:r>
            <w:proofErr w:type="gramEnd"/>
            <w:r w:rsidRPr="00877D45">
              <w:rPr>
                <w:rFonts w:cs="Times New Roman"/>
                <w:sz w:val="20"/>
              </w:rPr>
              <w:t>Income)</w:t>
            </w:r>
          </w:p>
        </w:tc>
        <w:tc>
          <w:tcPr>
            <w:tcW w:w="1224" w:type="dxa"/>
            <w:vAlign w:val="center"/>
          </w:tcPr>
          <w:p w14:paraId="5EE8F7AD" w14:textId="77777777" w:rsidR="002D6DB2" w:rsidRPr="00877D45" w:rsidRDefault="002D6DB2" w:rsidP="00E644E7">
            <w:pPr>
              <w:spacing w:before="20" w:after="20"/>
              <w:jc w:val="center"/>
              <w:rPr>
                <w:rFonts w:cs="Times New Roman"/>
              </w:rPr>
            </w:pPr>
            <w:r w:rsidRPr="00877D45">
              <w:rPr>
                <w:rFonts w:cs="Times New Roman"/>
                <w:sz w:val="20"/>
              </w:rPr>
              <w:t>−1.234</w:t>
            </w:r>
          </w:p>
        </w:tc>
        <w:tc>
          <w:tcPr>
            <w:tcW w:w="936" w:type="dxa"/>
            <w:vAlign w:val="center"/>
          </w:tcPr>
          <w:p w14:paraId="2A728B81" w14:textId="77777777" w:rsidR="002D6DB2" w:rsidRPr="00877D45" w:rsidRDefault="002D6DB2" w:rsidP="00E644E7">
            <w:pPr>
              <w:spacing w:before="20" w:after="20"/>
              <w:jc w:val="center"/>
              <w:rPr>
                <w:rFonts w:cs="Times New Roman"/>
              </w:rPr>
            </w:pPr>
            <w:r w:rsidRPr="00877D45">
              <w:rPr>
                <w:rFonts w:cs="Times New Roman"/>
                <w:sz w:val="20"/>
              </w:rPr>
              <w:t>0.336</w:t>
            </w:r>
          </w:p>
        </w:tc>
        <w:tc>
          <w:tcPr>
            <w:tcW w:w="720" w:type="dxa"/>
            <w:vAlign w:val="center"/>
          </w:tcPr>
          <w:p w14:paraId="075E9DAC" w14:textId="77777777" w:rsidR="002D6DB2" w:rsidRPr="00877D45" w:rsidRDefault="002D6DB2" w:rsidP="00E644E7">
            <w:pPr>
              <w:spacing w:before="20" w:after="20"/>
              <w:jc w:val="center"/>
              <w:rPr>
                <w:rFonts w:cs="Times New Roman"/>
              </w:rPr>
            </w:pPr>
            <w:r w:rsidRPr="00877D45">
              <w:rPr>
                <w:rFonts w:cs="Times New Roman"/>
                <w:sz w:val="20"/>
              </w:rPr>
              <w:t>***</w:t>
            </w:r>
          </w:p>
        </w:tc>
        <w:tc>
          <w:tcPr>
            <w:tcW w:w="1512" w:type="dxa"/>
            <w:vAlign w:val="center"/>
          </w:tcPr>
          <w:p w14:paraId="53D37FBD" w14:textId="77777777" w:rsidR="002D6DB2" w:rsidRPr="00877D45" w:rsidRDefault="002D6DB2" w:rsidP="00E644E7">
            <w:pPr>
              <w:spacing w:before="20" w:after="20"/>
              <w:jc w:val="center"/>
              <w:rPr>
                <w:rFonts w:cs="Times New Roman"/>
              </w:rPr>
            </w:pPr>
            <w:r w:rsidRPr="00877D45">
              <w:rPr>
                <w:rFonts w:cs="Times New Roman"/>
                <w:sz w:val="20"/>
              </w:rPr>
              <w:t>−0.637</w:t>
            </w:r>
          </w:p>
        </w:tc>
        <w:tc>
          <w:tcPr>
            <w:tcW w:w="936" w:type="dxa"/>
            <w:vAlign w:val="center"/>
          </w:tcPr>
          <w:p w14:paraId="73D84E99" w14:textId="77777777" w:rsidR="002D6DB2" w:rsidRPr="00877D45" w:rsidRDefault="002D6DB2" w:rsidP="00E644E7">
            <w:pPr>
              <w:spacing w:before="20" w:after="20"/>
              <w:jc w:val="center"/>
              <w:rPr>
                <w:rFonts w:cs="Times New Roman"/>
              </w:rPr>
            </w:pPr>
            <w:r w:rsidRPr="00877D45">
              <w:rPr>
                <w:rFonts w:cs="Times New Roman"/>
                <w:sz w:val="20"/>
              </w:rPr>
              <w:t>0.187</w:t>
            </w:r>
          </w:p>
        </w:tc>
        <w:tc>
          <w:tcPr>
            <w:tcW w:w="720" w:type="dxa"/>
            <w:vAlign w:val="center"/>
          </w:tcPr>
          <w:p w14:paraId="4C4C34B9" w14:textId="77777777" w:rsidR="002D6DB2" w:rsidRPr="00877D45" w:rsidRDefault="002D6DB2" w:rsidP="00E644E7">
            <w:pPr>
              <w:spacing w:before="20" w:after="20"/>
              <w:jc w:val="center"/>
              <w:rPr>
                <w:rFonts w:cs="Times New Roman"/>
              </w:rPr>
            </w:pPr>
            <w:r w:rsidRPr="00877D45">
              <w:rPr>
                <w:rFonts w:cs="Times New Roman"/>
                <w:sz w:val="20"/>
              </w:rPr>
              <w:t>***</w:t>
            </w:r>
          </w:p>
        </w:tc>
      </w:tr>
      <w:tr w:rsidR="002D6DB2" w:rsidRPr="00877D45" w14:paraId="112B2023" w14:textId="77777777" w:rsidTr="00E644E7">
        <w:trPr>
          <w:jc w:val="center"/>
        </w:trPr>
        <w:tc>
          <w:tcPr>
            <w:tcW w:w="3384" w:type="dxa"/>
            <w:vAlign w:val="center"/>
          </w:tcPr>
          <w:p w14:paraId="7674C668" w14:textId="77777777" w:rsidR="002D6DB2" w:rsidRPr="00877D45" w:rsidRDefault="002D6DB2" w:rsidP="00E644E7">
            <w:pPr>
              <w:spacing w:before="20" w:after="20"/>
              <w:rPr>
                <w:rFonts w:cs="Times New Roman"/>
              </w:rPr>
            </w:pPr>
            <w:r w:rsidRPr="00877D45">
              <w:rPr>
                <w:rFonts w:cs="Times New Roman"/>
                <w:sz w:val="20"/>
              </w:rPr>
              <w:t xml:space="preserve">(3) + </w:t>
            </w:r>
            <w:proofErr w:type="gramStart"/>
            <w:r w:rsidRPr="00877D45">
              <w:rPr>
                <w:rFonts w:cs="Times New Roman"/>
                <w:sz w:val="20"/>
              </w:rPr>
              <w:t>log(</w:t>
            </w:r>
            <w:proofErr w:type="gramEnd"/>
            <w:r w:rsidRPr="00877D45">
              <w:rPr>
                <w:rFonts w:cs="Times New Roman"/>
                <w:sz w:val="20"/>
              </w:rPr>
              <w:t xml:space="preserve">Income) + </w:t>
            </w:r>
            <w:proofErr w:type="spellStart"/>
            <w:r w:rsidRPr="00877D45">
              <w:rPr>
                <w:rFonts w:cs="Times New Roman"/>
                <w:sz w:val="20"/>
              </w:rPr>
              <w:t>Unemp</w:t>
            </w:r>
            <w:proofErr w:type="spellEnd"/>
            <w:r w:rsidRPr="00877D45">
              <w:rPr>
                <w:rFonts w:cs="Times New Roman"/>
                <w:sz w:val="20"/>
              </w:rPr>
              <w:t>.</w:t>
            </w:r>
          </w:p>
        </w:tc>
        <w:tc>
          <w:tcPr>
            <w:tcW w:w="1224" w:type="dxa"/>
            <w:vAlign w:val="center"/>
          </w:tcPr>
          <w:p w14:paraId="78EC718C" w14:textId="77777777" w:rsidR="002D6DB2" w:rsidRPr="00877D45" w:rsidRDefault="002D6DB2" w:rsidP="00E644E7">
            <w:pPr>
              <w:spacing w:before="20" w:after="20"/>
              <w:jc w:val="center"/>
              <w:rPr>
                <w:rFonts w:cs="Times New Roman"/>
              </w:rPr>
            </w:pPr>
            <w:r w:rsidRPr="00877D45">
              <w:rPr>
                <w:rFonts w:cs="Times New Roman"/>
                <w:sz w:val="20"/>
              </w:rPr>
              <w:t>−1.021</w:t>
            </w:r>
          </w:p>
        </w:tc>
        <w:tc>
          <w:tcPr>
            <w:tcW w:w="936" w:type="dxa"/>
            <w:vAlign w:val="center"/>
          </w:tcPr>
          <w:p w14:paraId="21CD0C1C" w14:textId="77777777" w:rsidR="002D6DB2" w:rsidRPr="00877D45" w:rsidRDefault="002D6DB2" w:rsidP="00E644E7">
            <w:pPr>
              <w:spacing w:before="20" w:after="20"/>
              <w:jc w:val="center"/>
              <w:rPr>
                <w:rFonts w:cs="Times New Roman"/>
              </w:rPr>
            </w:pPr>
            <w:r w:rsidRPr="00877D45">
              <w:rPr>
                <w:rFonts w:cs="Times New Roman"/>
                <w:sz w:val="20"/>
              </w:rPr>
              <w:t>0.329</w:t>
            </w:r>
          </w:p>
        </w:tc>
        <w:tc>
          <w:tcPr>
            <w:tcW w:w="720" w:type="dxa"/>
            <w:vAlign w:val="center"/>
          </w:tcPr>
          <w:p w14:paraId="52565893" w14:textId="77777777" w:rsidR="002D6DB2" w:rsidRPr="00877D45" w:rsidRDefault="002D6DB2" w:rsidP="00E644E7">
            <w:pPr>
              <w:spacing w:before="20" w:after="20"/>
              <w:jc w:val="center"/>
              <w:rPr>
                <w:rFonts w:cs="Times New Roman"/>
              </w:rPr>
            </w:pPr>
            <w:r w:rsidRPr="00877D45">
              <w:rPr>
                <w:rFonts w:cs="Times New Roman"/>
                <w:sz w:val="20"/>
              </w:rPr>
              <w:t>**</w:t>
            </w:r>
          </w:p>
        </w:tc>
        <w:tc>
          <w:tcPr>
            <w:tcW w:w="1512" w:type="dxa"/>
            <w:vAlign w:val="center"/>
          </w:tcPr>
          <w:p w14:paraId="5590E767" w14:textId="77777777" w:rsidR="002D6DB2" w:rsidRPr="00877D45" w:rsidRDefault="002D6DB2" w:rsidP="00E644E7">
            <w:pPr>
              <w:spacing w:before="20" w:after="20"/>
              <w:jc w:val="center"/>
              <w:rPr>
                <w:rFonts w:cs="Times New Roman"/>
              </w:rPr>
            </w:pPr>
            <w:r w:rsidRPr="00877D45">
              <w:rPr>
                <w:rFonts w:cs="Times New Roman"/>
                <w:sz w:val="20"/>
              </w:rPr>
              <w:t>−0.627</w:t>
            </w:r>
          </w:p>
        </w:tc>
        <w:tc>
          <w:tcPr>
            <w:tcW w:w="936" w:type="dxa"/>
            <w:vAlign w:val="center"/>
          </w:tcPr>
          <w:p w14:paraId="330A38C1" w14:textId="77777777" w:rsidR="002D6DB2" w:rsidRPr="00877D45" w:rsidRDefault="002D6DB2" w:rsidP="00E644E7">
            <w:pPr>
              <w:spacing w:before="20" w:after="20"/>
              <w:jc w:val="center"/>
              <w:rPr>
                <w:rFonts w:cs="Times New Roman"/>
              </w:rPr>
            </w:pPr>
            <w:r w:rsidRPr="00877D45">
              <w:rPr>
                <w:rFonts w:cs="Times New Roman"/>
                <w:sz w:val="20"/>
              </w:rPr>
              <w:t>0.203</w:t>
            </w:r>
          </w:p>
        </w:tc>
        <w:tc>
          <w:tcPr>
            <w:tcW w:w="720" w:type="dxa"/>
            <w:vAlign w:val="center"/>
          </w:tcPr>
          <w:p w14:paraId="2A3011E4" w14:textId="77777777" w:rsidR="002D6DB2" w:rsidRPr="00877D45" w:rsidRDefault="002D6DB2" w:rsidP="00E644E7">
            <w:pPr>
              <w:spacing w:before="20" w:after="20"/>
              <w:jc w:val="center"/>
              <w:rPr>
                <w:rFonts w:cs="Times New Roman"/>
              </w:rPr>
            </w:pPr>
            <w:r w:rsidRPr="00877D45">
              <w:rPr>
                <w:rFonts w:cs="Times New Roman"/>
                <w:sz w:val="20"/>
              </w:rPr>
              <w:t>**</w:t>
            </w:r>
          </w:p>
        </w:tc>
      </w:tr>
    </w:tbl>
    <w:p w14:paraId="0CACC97F" w14:textId="22A8CA0B" w:rsidR="00702814" w:rsidRPr="00877D45" w:rsidRDefault="00FE6FC8" w:rsidP="00FE6FC8">
      <w:pPr>
        <w:spacing w:after="0" w:line="480" w:lineRule="auto"/>
        <w:jc w:val="center"/>
        <w:rPr>
          <w:rFonts w:cs="Times New Roman"/>
          <w:i/>
        </w:rPr>
      </w:pPr>
      <w:r w:rsidRPr="00877D45">
        <w:rPr>
          <w:rFonts w:cs="Times New Roman"/>
        </w:rPr>
        <w:t xml:space="preserve">Table 2 </w:t>
      </w:r>
      <w:r w:rsidRPr="00877D45">
        <w:rPr>
          <w:rFonts w:cs="Times New Roman"/>
          <w:i/>
        </w:rPr>
        <w:t>Main TWFE Estimates: Metro-Core vs. Non-Metro Counties</w:t>
      </w:r>
    </w:p>
    <w:p w14:paraId="1713E858" w14:textId="05268907" w:rsidR="00F971C0" w:rsidRPr="00F971C0" w:rsidRDefault="002D6DB2" w:rsidP="002D6DB2">
      <w:pPr>
        <w:spacing w:before="40" w:line="260" w:lineRule="exact"/>
        <w:rPr>
          <w:rFonts w:cs="Times New Roman"/>
          <w:sz w:val="19"/>
        </w:rPr>
      </w:pPr>
      <w:r w:rsidRPr="00877D45">
        <w:rPr>
          <w:rFonts w:cs="Times New Roman"/>
          <w:b/>
          <w:sz w:val="19"/>
        </w:rPr>
        <w:t xml:space="preserve">Note. </w:t>
      </w:r>
      <w:r w:rsidRPr="00877D45">
        <w:rPr>
          <w:rFonts w:cs="Times New Roman"/>
          <w:sz w:val="19"/>
        </w:rPr>
        <w:t xml:space="preserve">Metro-Core: 33 counties × 7 years (231 </w:t>
      </w:r>
      <w:proofErr w:type="spellStart"/>
      <w:r w:rsidRPr="00877D45">
        <w:rPr>
          <w:rFonts w:cs="Times New Roman"/>
          <w:sz w:val="19"/>
        </w:rPr>
        <w:t>obs</w:t>
      </w:r>
      <w:proofErr w:type="spellEnd"/>
      <w:r w:rsidRPr="00877D45">
        <w:rPr>
          <w:rFonts w:cs="Times New Roman"/>
          <w:sz w:val="19"/>
        </w:rPr>
        <w:t xml:space="preserve">). Non-Metro (Micropolitan + Noncore): 21 counties × 7 years (147 </w:t>
      </w:r>
      <w:proofErr w:type="spellStart"/>
      <w:r w:rsidRPr="00877D45">
        <w:rPr>
          <w:rFonts w:cs="Times New Roman"/>
          <w:sz w:val="19"/>
        </w:rPr>
        <w:t>obs</w:t>
      </w:r>
      <w:proofErr w:type="spellEnd"/>
      <w:r w:rsidRPr="00877D45">
        <w:rPr>
          <w:rFonts w:cs="Times New Roman"/>
          <w:sz w:val="19"/>
        </w:rPr>
        <w:t xml:space="preserve">). Specification: </w:t>
      </w:r>
      <w:proofErr w:type="gramStart"/>
      <w:r w:rsidRPr="00877D45">
        <w:rPr>
          <w:rFonts w:cs="Times New Roman"/>
          <w:sz w:val="19"/>
        </w:rPr>
        <w:t>log(</w:t>
      </w:r>
      <w:proofErr w:type="gramEnd"/>
      <w:r w:rsidRPr="00877D45">
        <w:rPr>
          <w:rFonts w:cs="Times New Roman"/>
          <w:sz w:val="19"/>
        </w:rPr>
        <w:t>Price) ~ WFH rate + controls | County + Year. CRV1 SE clustered by county. Coefficients are % price change per 1-pp WFH increase. *** p&lt;.001, ** p&lt;.01, * p&lt;.05.</w:t>
      </w:r>
    </w:p>
    <w:p w14:paraId="27620E5D" w14:textId="32638C70" w:rsidR="00702814" w:rsidRPr="00877D45" w:rsidRDefault="00F971C0" w:rsidP="00F425BB">
      <w:pPr>
        <w:pStyle w:val="ListParagraph"/>
        <w:numPr>
          <w:ilvl w:val="1"/>
          <w:numId w:val="11"/>
        </w:numPr>
        <w:spacing w:after="0" w:line="480" w:lineRule="auto"/>
        <w:rPr>
          <w:rFonts w:cs="Times New Roman"/>
        </w:rPr>
      </w:pPr>
      <w:r>
        <w:rPr>
          <w:rFonts w:cs="Times New Roman"/>
          <w:b/>
        </w:rPr>
        <w:t xml:space="preserve"> </w:t>
      </w:r>
      <w:r w:rsidRPr="00877D45">
        <w:rPr>
          <w:rFonts w:cs="Times New Roman"/>
          <w:b/>
        </w:rPr>
        <w:t>Dynamic TWFE Event Study</w:t>
      </w:r>
    </w:p>
    <w:p w14:paraId="77CDC865" w14:textId="244E34C8" w:rsidR="00702814" w:rsidRPr="00877D45" w:rsidRDefault="00000000">
      <w:pPr>
        <w:spacing w:after="0" w:line="480" w:lineRule="auto"/>
        <w:ind w:firstLine="720"/>
        <w:rPr>
          <w:rFonts w:cs="Times New Roman"/>
        </w:rPr>
      </w:pPr>
      <w:r w:rsidRPr="00877D45">
        <w:rPr>
          <w:rFonts w:cs="Times New Roman"/>
        </w:rPr>
        <w:t xml:space="preserve">Table </w:t>
      </w:r>
      <w:r w:rsidR="00407A2E" w:rsidRPr="00877D45">
        <w:rPr>
          <w:rFonts w:cs="Times New Roman"/>
        </w:rPr>
        <w:t>3</w:t>
      </w:r>
      <w:r w:rsidRPr="00877D45">
        <w:rPr>
          <w:rFonts w:cs="Times New Roman"/>
        </w:rPr>
        <w:t xml:space="preserve"> reports the dynamic TWFE event study estimates using 2019 as the reference year. The pre-treatment coefficients are small and statistically insignificant: 0.</w:t>
      </w:r>
      <w:r w:rsidR="002D6DB2" w:rsidRPr="00877D45">
        <w:rPr>
          <w:rFonts w:cs="Times New Roman"/>
        </w:rPr>
        <w:t>753</w:t>
      </w:r>
      <w:r w:rsidRPr="00877D45">
        <w:rPr>
          <w:rFonts w:cs="Times New Roman"/>
        </w:rPr>
        <w:t>% (SE = 0.</w:t>
      </w:r>
      <w:r w:rsidR="002D6DB2" w:rsidRPr="00877D45">
        <w:rPr>
          <w:rFonts w:cs="Times New Roman"/>
        </w:rPr>
        <w:t>568</w:t>
      </w:r>
      <w:r w:rsidRPr="00877D45">
        <w:rPr>
          <w:rFonts w:cs="Times New Roman"/>
        </w:rPr>
        <w:t>, p = 0.</w:t>
      </w:r>
      <w:r w:rsidR="002D6DB2" w:rsidRPr="00877D45">
        <w:rPr>
          <w:rFonts w:cs="Times New Roman"/>
        </w:rPr>
        <w:t>185</w:t>
      </w:r>
      <w:r w:rsidRPr="00877D45">
        <w:rPr>
          <w:rFonts w:cs="Times New Roman"/>
        </w:rPr>
        <w:t>) in 2017 and 0.</w:t>
      </w:r>
      <w:r w:rsidR="002D6DB2" w:rsidRPr="00877D45">
        <w:rPr>
          <w:rFonts w:cs="Times New Roman"/>
        </w:rPr>
        <w:t>151</w:t>
      </w:r>
      <w:r w:rsidRPr="00877D45">
        <w:rPr>
          <w:rFonts w:cs="Times New Roman"/>
        </w:rPr>
        <w:t>% (SE = 0.49</w:t>
      </w:r>
      <w:r w:rsidR="002D6DB2" w:rsidRPr="00877D45">
        <w:rPr>
          <w:rFonts w:cs="Times New Roman"/>
        </w:rPr>
        <w:t>7</w:t>
      </w:r>
      <w:r w:rsidRPr="00877D45">
        <w:rPr>
          <w:rFonts w:cs="Times New Roman"/>
        </w:rPr>
        <w:t>, p = 0.</w:t>
      </w:r>
      <w:r w:rsidR="002D6DB2" w:rsidRPr="00877D45">
        <w:rPr>
          <w:rFonts w:cs="Times New Roman"/>
        </w:rPr>
        <w:t>761</w:t>
      </w:r>
      <w:r w:rsidRPr="00877D45">
        <w:rPr>
          <w:rFonts w:cs="Times New Roman"/>
        </w:rPr>
        <w:t xml:space="preserve">) in 2018. A joint test fails to reject the null of no pre-trend (chi-squared = </w:t>
      </w:r>
      <w:r w:rsidR="002D6DB2" w:rsidRPr="00877D45">
        <w:rPr>
          <w:rFonts w:cs="Times New Roman"/>
        </w:rPr>
        <w:t>1.85</w:t>
      </w:r>
      <w:r w:rsidRPr="00877D45">
        <w:rPr>
          <w:rFonts w:cs="Times New Roman"/>
        </w:rPr>
        <w:t>, p = 0.</w:t>
      </w:r>
      <w:r w:rsidR="002D6DB2" w:rsidRPr="00877D45">
        <w:rPr>
          <w:rFonts w:cs="Times New Roman"/>
        </w:rPr>
        <w:t>4</w:t>
      </w:r>
      <w:r w:rsidRPr="00877D45">
        <w:rPr>
          <w:rFonts w:cs="Times New Roman"/>
        </w:rPr>
        <w:t>), providing no evidence of differential trends prior to the WFH shock.</w:t>
      </w:r>
    </w:p>
    <w:p w14:paraId="2C8DB6E4" w14:textId="09E8FC4D" w:rsidR="00702814" w:rsidRPr="00877D45" w:rsidRDefault="00000000">
      <w:pPr>
        <w:spacing w:after="0" w:line="480" w:lineRule="auto"/>
        <w:ind w:firstLine="720"/>
        <w:rPr>
          <w:rFonts w:cs="Times New Roman"/>
        </w:rPr>
      </w:pPr>
      <w:r w:rsidRPr="00877D45">
        <w:rPr>
          <w:rFonts w:cs="Times New Roman"/>
        </w:rPr>
        <w:t>In contrast, the post-2020 coefficients are consistently negative and statistically significant. In 2020, a one percentage point increase in the WFH rate is associated with a −0.</w:t>
      </w:r>
      <w:r w:rsidR="002D6DB2" w:rsidRPr="00877D45">
        <w:rPr>
          <w:rFonts w:cs="Times New Roman"/>
        </w:rPr>
        <w:t>744</w:t>
      </w:r>
      <w:r w:rsidRPr="00877D45">
        <w:rPr>
          <w:rFonts w:cs="Times New Roman"/>
        </w:rPr>
        <w:t xml:space="preserve">% change in housing prices at </w:t>
      </w:r>
      <w:r w:rsidR="002D6DB2" w:rsidRPr="00877D45">
        <w:rPr>
          <w:rFonts w:cs="Times New Roman"/>
        </w:rPr>
        <w:t>1</w:t>
      </w:r>
      <w:r w:rsidRPr="00877D45">
        <w:rPr>
          <w:rFonts w:cs="Times New Roman"/>
        </w:rPr>
        <w:t>% level. The effect persists and slightly strengthens in subsequent years: −0.7</w:t>
      </w:r>
      <w:r w:rsidR="002D6DB2" w:rsidRPr="00877D45">
        <w:rPr>
          <w:rFonts w:cs="Times New Roman"/>
        </w:rPr>
        <w:t>49</w:t>
      </w:r>
      <w:proofErr w:type="gramStart"/>
      <w:r w:rsidRPr="00877D45">
        <w:rPr>
          <w:rFonts w:cs="Times New Roman"/>
        </w:rPr>
        <w:t>%  in</w:t>
      </w:r>
      <w:proofErr w:type="gramEnd"/>
      <w:r w:rsidRPr="00877D45">
        <w:rPr>
          <w:rFonts w:cs="Times New Roman"/>
        </w:rPr>
        <w:t xml:space="preserve"> 2021, −0.</w:t>
      </w:r>
      <w:r w:rsidR="002D6DB2" w:rsidRPr="00877D45">
        <w:rPr>
          <w:rFonts w:cs="Times New Roman"/>
        </w:rPr>
        <w:t>778</w:t>
      </w:r>
      <w:r w:rsidRPr="00877D45">
        <w:rPr>
          <w:rFonts w:cs="Times New Roman"/>
        </w:rPr>
        <w:t>% in 2022, and −1.</w:t>
      </w:r>
      <w:r w:rsidR="002D6DB2" w:rsidRPr="00877D45">
        <w:rPr>
          <w:rFonts w:cs="Times New Roman"/>
        </w:rPr>
        <w:t>037</w:t>
      </w:r>
      <w:proofErr w:type="gramStart"/>
      <w:r w:rsidRPr="00877D45">
        <w:rPr>
          <w:rFonts w:cs="Times New Roman"/>
        </w:rPr>
        <w:t>%  in</w:t>
      </w:r>
      <w:proofErr w:type="gramEnd"/>
      <w:r w:rsidRPr="00877D45">
        <w:rPr>
          <w:rFonts w:cs="Times New Roman"/>
        </w:rPr>
        <w:t xml:space="preserve"> 2023. These effects from 2021 to 2023 are significant at 1%</w:t>
      </w:r>
      <w:r w:rsidR="002D6DB2" w:rsidRPr="00877D45">
        <w:rPr>
          <w:rFonts w:cs="Times New Roman"/>
        </w:rPr>
        <w:t xml:space="preserve"> and 5%</w:t>
      </w:r>
      <w:r w:rsidRPr="00877D45">
        <w:rPr>
          <w:rFonts w:cs="Times New Roman"/>
        </w:rPr>
        <w:t xml:space="preserve"> level.</w:t>
      </w:r>
    </w:p>
    <w:p w14:paraId="019C73F0" w14:textId="6060D60D" w:rsidR="00702814" w:rsidRPr="00877D45" w:rsidRDefault="00000000" w:rsidP="00EA4362">
      <w:pPr>
        <w:spacing w:after="0" w:line="480" w:lineRule="auto"/>
        <w:ind w:firstLine="720"/>
        <w:rPr>
          <w:rFonts w:cs="Times New Roman"/>
        </w:rPr>
      </w:pPr>
      <w:r w:rsidRPr="00877D45">
        <w:rPr>
          <w:rFonts w:cs="Times New Roman"/>
        </w:rPr>
        <w:t xml:space="preserve">The increasing magnitude over time suggests a gradual adjustment of housing demand to remote work, with the largest effect observed in 2023. Overall, the results indicate a persistent </w:t>
      </w:r>
      <w:r w:rsidRPr="00877D45">
        <w:rPr>
          <w:rFonts w:cs="Times New Roman"/>
        </w:rPr>
        <w:lastRenderedPageBreak/>
        <w:t>and economically meaningful negative relationship between WFH adoption and housing prices in metropolitan core counties.</w:t>
      </w:r>
    </w:p>
    <w:tbl>
      <w:tblPr>
        <w:tblStyle w:val="TableGrid"/>
        <w:tblW w:w="0" w:type="auto"/>
        <w:jc w:val="center"/>
        <w:tblLook w:val="04A0" w:firstRow="1" w:lastRow="0" w:firstColumn="1" w:lastColumn="0" w:noHBand="0" w:noVBand="1"/>
      </w:tblPr>
      <w:tblGrid>
        <w:gridCol w:w="1512"/>
        <w:gridCol w:w="1224"/>
        <w:gridCol w:w="1080"/>
        <w:gridCol w:w="2232"/>
        <w:gridCol w:w="1224"/>
        <w:gridCol w:w="936"/>
      </w:tblGrid>
      <w:tr w:rsidR="002D6DB2" w:rsidRPr="00877D45" w14:paraId="7F9A983C" w14:textId="77777777" w:rsidTr="00E644E7">
        <w:trPr>
          <w:jc w:val="center"/>
        </w:trPr>
        <w:tc>
          <w:tcPr>
            <w:tcW w:w="1512" w:type="dxa"/>
            <w:shd w:val="clear" w:color="auto" w:fill="D0D8E4"/>
            <w:vAlign w:val="center"/>
          </w:tcPr>
          <w:p w14:paraId="5E728DD0" w14:textId="77777777" w:rsidR="002D6DB2" w:rsidRPr="00877D45" w:rsidRDefault="002D6DB2" w:rsidP="00E644E7">
            <w:pPr>
              <w:spacing w:before="40" w:after="40"/>
              <w:jc w:val="center"/>
              <w:rPr>
                <w:rFonts w:cs="Times New Roman"/>
              </w:rPr>
            </w:pPr>
            <w:r w:rsidRPr="00877D45">
              <w:rPr>
                <w:rFonts w:cs="Times New Roman"/>
                <w:b/>
                <w:sz w:val="20"/>
              </w:rPr>
              <w:t>Year</w:t>
            </w:r>
          </w:p>
        </w:tc>
        <w:tc>
          <w:tcPr>
            <w:tcW w:w="1224" w:type="dxa"/>
            <w:shd w:val="clear" w:color="auto" w:fill="D0D8E4"/>
            <w:vAlign w:val="center"/>
          </w:tcPr>
          <w:p w14:paraId="6BB740DF" w14:textId="77777777" w:rsidR="002D6DB2" w:rsidRPr="00877D45" w:rsidRDefault="002D6DB2" w:rsidP="00E644E7">
            <w:pPr>
              <w:spacing w:before="40" w:after="40"/>
              <w:jc w:val="center"/>
              <w:rPr>
                <w:rFonts w:cs="Times New Roman"/>
              </w:rPr>
            </w:pPr>
            <w:r w:rsidRPr="00877D45">
              <w:rPr>
                <w:rFonts w:cs="Times New Roman"/>
                <w:b/>
                <w:sz w:val="20"/>
              </w:rPr>
              <w:t>Coef (%)</w:t>
            </w:r>
          </w:p>
        </w:tc>
        <w:tc>
          <w:tcPr>
            <w:tcW w:w="1080" w:type="dxa"/>
            <w:shd w:val="clear" w:color="auto" w:fill="D0D8E4"/>
            <w:vAlign w:val="center"/>
          </w:tcPr>
          <w:p w14:paraId="7040A2D2" w14:textId="77777777" w:rsidR="002D6DB2" w:rsidRPr="00877D45" w:rsidRDefault="002D6DB2" w:rsidP="00E644E7">
            <w:pPr>
              <w:spacing w:before="40" w:after="40"/>
              <w:jc w:val="center"/>
              <w:rPr>
                <w:rFonts w:cs="Times New Roman"/>
              </w:rPr>
            </w:pPr>
            <w:r w:rsidRPr="00877D45">
              <w:rPr>
                <w:rFonts w:cs="Times New Roman"/>
                <w:b/>
                <w:sz w:val="20"/>
              </w:rPr>
              <w:t>SE (%)</w:t>
            </w:r>
          </w:p>
        </w:tc>
        <w:tc>
          <w:tcPr>
            <w:tcW w:w="2232" w:type="dxa"/>
            <w:shd w:val="clear" w:color="auto" w:fill="D0D8E4"/>
            <w:vAlign w:val="center"/>
          </w:tcPr>
          <w:p w14:paraId="7AB33D35" w14:textId="77777777" w:rsidR="002D6DB2" w:rsidRPr="00877D45" w:rsidRDefault="002D6DB2" w:rsidP="00E644E7">
            <w:pPr>
              <w:spacing w:before="40" w:after="40"/>
              <w:jc w:val="center"/>
              <w:rPr>
                <w:rFonts w:cs="Times New Roman"/>
              </w:rPr>
            </w:pPr>
            <w:r w:rsidRPr="00877D45">
              <w:rPr>
                <w:rFonts w:cs="Times New Roman"/>
                <w:b/>
                <w:sz w:val="20"/>
              </w:rPr>
              <w:t>95% CI (%)</w:t>
            </w:r>
          </w:p>
        </w:tc>
        <w:tc>
          <w:tcPr>
            <w:tcW w:w="1224" w:type="dxa"/>
            <w:shd w:val="clear" w:color="auto" w:fill="D0D8E4"/>
            <w:vAlign w:val="center"/>
          </w:tcPr>
          <w:p w14:paraId="49402240" w14:textId="77777777" w:rsidR="002D6DB2" w:rsidRPr="00877D45" w:rsidRDefault="002D6DB2" w:rsidP="00E644E7">
            <w:pPr>
              <w:spacing w:before="40" w:after="40"/>
              <w:jc w:val="center"/>
              <w:rPr>
                <w:rFonts w:cs="Times New Roman"/>
              </w:rPr>
            </w:pPr>
            <w:r w:rsidRPr="00877D45">
              <w:rPr>
                <w:rFonts w:cs="Times New Roman"/>
                <w:b/>
                <w:sz w:val="20"/>
              </w:rPr>
              <w:t>p-value</w:t>
            </w:r>
          </w:p>
        </w:tc>
        <w:tc>
          <w:tcPr>
            <w:tcW w:w="936" w:type="dxa"/>
            <w:shd w:val="clear" w:color="auto" w:fill="D0D8E4"/>
            <w:vAlign w:val="center"/>
          </w:tcPr>
          <w:p w14:paraId="3C6EBECD" w14:textId="77777777" w:rsidR="002D6DB2" w:rsidRPr="00877D45" w:rsidRDefault="002D6DB2" w:rsidP="00E644E7">
            <w:pPr>
              <w:spacing w:before="40" w:after="40"/>
              <w:jc w:val="center"/>
              <w:rPr>
                <w:rFonts w:cs="Times New Roman"/>
              </w:rPr>
            </w:pPr>
            <w:r w:rsidRPr="00877D45">
              <w:rPr>
                <w:rFonts w:cs="Times New Roman"/>
                <w:b/>
                <w:sz w:val="20"/>
              </w:rPr>
              <w:t>Sig.</w:t>
            </w:r>
          </w:p>
        </w:tc>
      </w:tr>
      <w:tr w:rsidR="002D6DB2" w:rsidRPr="00877D45" w14:paraId="7BF5F1F3" w14:textId="77777777" w:rsidTr="00E644E7">
        <w:trPr>
          <w:jc w:val="center"/>
        </w:trPr>
        <w:tc>
          <w:tcPr>
            <w:tcW w:w="1512" w:type="dxa"/>
            <w:vAlign w:val="center"/>
          </w:tcPr>
          <w:p w14:paraId="68CF26DD" w14:textId="77777777" w:rsidR="002D6DB2" w:rsidRPr="00877D45" w:rsidRDefault="002D6DB2" w:rsidP="00E644E7">
            <w:pPr>
              <w:spacing w:before="20" w:after="20"/>
              <w:rPr>
                <w:rFonts w:cs="Times New Roman"/>
              </w:rPr>
            </w:pPr>
            <w:r w:rsidRPr="00877D45">
              <w:rPr>
                <w:rFonts w:cs="Times New Roman"/>
                <w:sz w:val="20"/>
              </w:rPr>
              <w:t>2017 (pre)</w:t>
            </w:r>
          </w:p>
        </w:tc>
        <w:tc>
          <w:tcPr>
            <w:tcW w:w="1224" w:type="dxa"/>
            <w:vAlign w:val="center"/>
          </w:tcPr>
          <w:p w14:paraId="6E12C9DE" w14:textId="77777777" w:rsidR="002D6DB2" w:rsidRPr="00877D45" w:rsidRDefault="002D6DB2" w:rsidP="00E644E7">
            <w:pPr>
              <w:spacing w:before="20" w:after="20"/>
              <w:jc w:val="center"/>
              <w:rPr>
                <w:rFonts w:cs="Times New Roman"/>
              </w:rPr>
            </w:pPr>
            <w:r w:rsidRPr="00877D45">
              <w:rPr>
                <w:rFonts w:cs="Times New Roman"/>
                <w:sz w:val="20"/>
              </w:rPr>
              <w:t>+0.753</w:t>
            </w:r>
          </w:p>
        </w:tc>
        <w:tc>
          <w:tcPr>
            <w:tcW w:w="1080" w:type="dxa"/>
            <w:vAlign w:val="center"/>
          </w:tcPr>
          <w:p w14:paraId="61D744D4" w14:textId="77777777" w:rsidR="002D6DB2" w:rsidRPr="00877D45" w:rsidRDefault="002D6DB2" w:rsidP="00E644E7">
            <w:pPr>
              <w:spacing w:before="20" w:after="20"/>
              <w:jc w:val="center"/>
              <w:rPr>
                <w:rFonts w:cs="Times New Roman"/>
              </w:rPr>
            </w:pPr>
            <w:r w:rsidRPr="00877D45">
              <w:rPr>
                <w:rFonts w:cs="Times New Roman"/>
                <w:sz w:val="20"/>
              </w:rPr>
              <w:t>0.568</w:t>
            </w:r>
          </w:p>
        </w:tc>
        <w:tc>
          <w:tcPr>
            <w:tcW w:w="2232" w:type="dxa"/>
            <w:vAlign w:val="center"/>
          </w:tcPr>
          <w:p w14:paraId="1A786A89" w14:textId="77777777" w:rsidR="002D6DB2" w:rsidRPr="00877D45" w:rsidRDefault="002D6DB2" w:rsidP="00E644E7">
            <w:pPr>
              <w:spacing w:before="20" w:after="20"/>
              <w:jc w:val="center"/>
              <w:rPr>
                <w:rFonts w:cs="Times New Roman"/>
              </w:rPr>
            </w:pPr>
            <w:r w:rsidRPr="00877D45">
              <w:rPr>
                <w:rFonts w:cs="Times New Roman"/>
                <w:sz w:val="20"/>
              </w:rPr>
              <w:t>[−0.36, +1.87]</w:t>
            </w:r>
          </w:p>
        </w:tc>
        <w:tc>
          <w:tcPr>
            <w:tcW w:w="1224" w:type="dxa"/>
            <w:vAlign w:val="center"/>
          </w:tcPr>
          <w:p w14:paraId="189BC45E" w14:textId="77777777" w:rsidR="002D6DB2" w:rsidRPr="00877D45" w:rsidRDefault="002D6DB2" w:rsidP="00E644E7">
            <w:pPr>
              <w:spacing w:before="20" w:after="20"/>
              <w:jc w:val="center"/>
              <w:rPr>
                <w:rFonts w:cs="Times New Roman"/>
              </w:rPr>
            </w:pPr>
            <w:r w:rsidRPr="00877D45">
              <w:rPr>
                <w:rFonts w:cs="Times New Roman"/>
                <w:sz w:val="20"/>
              </w:rPr>
              <w:t>0.185</w:t>
            </w:r>
          </w:p>
        </w:tc>
        <w:tc>
          <w:tcPr>
            <w:tcW w:w="936" w:type="dxa"/>
            <w:vAlign w:val="center"/>
          </w:tcPr>
          <w:p w14:paraId="2AC8FF46" w14:textId="77777777" w:rsidR="002D6DB2" w:rsidRPr="00877D45" w:rsidRDefault="002D6DB2" w:rsidP="00E644E7">
            <w:pPr>
              <w:spacing w:before="20" w:after="20"/>
              <w:jc w:val="center"/>
              <w:rPr>
                <w:rFonts w:cs="Times New Roman"/>
              </w:rPr>
            </w:pPr>
          </w:p>
        </w:tc>
      </w:tr>
      <w:tr w:rsidR="002D6DB2" w:rsidRPr="00877D45" w14:paraId="5CE5C0CE" w14:textId="77777777" w:rsidTr="00E644E7">
        <w:trPr>
          <w:jc w:val="center"/>
        </w:trPr>
        <w:tc>
          <w:tcPr>
            <w:tcW w:w="1512" w:type="dxa"/>
            <w:vAlign w:val="center"/>
          </w:tcPr>
          <w:p w14:paraId="254FE918" w14:textId="77777777" w:rsidR="002D6DB2" w:rsidRPr="00877D45" w:rsidRDefault="002D6DB2" w:rsidP="00E644E7">
            <w:pPr>
              <w:spacing w:before="20" w:after="20"/>
              <w:rPr>
                <w:rFonts w:cs="Times New Roman"/>
              </w:rPr>
            </w:pPr>
            <w:r w:rsidRPr="00877D45">
              <w:rPr>
                <w:rFonts w:cs="Times New Roman"/>
                <w:sz w:val="20"/>
              </w:rPr>
              <w:t>2018 (pre)</w:t>
            </w:r>
          </w:p>
        </w:tc>
        <w:tc>
          <w:tcPr>
            <w:tcW w:w="1224" w:type="dxa"/>
            <w:vAlign w:val="center"/>
          </w:tcPr>
          <w:p w14:paraId="05AE1444" w14:textId="77777777" w:rsidR="002D6DB2" w:rsidRPr="00877D45" w:rsidRDefault="002D6DB2" w:rsidP="00E644E7">
            <w:pPr>
              <w:spacing w:before="20" w:after="20"/>
              <w:jc w:val="center"/>
              <w:rPr>
                <w:rFonts w:cs="Times New Roman"/>
              </w:rPr>
            </w:pPr>
            <w:r w:rsidRPr="00877D45">
              <w:rPr>
                <w:rFonts w:cs="Times New Roman"/>
                <w:sz w:val="20"/>
              </w:rPr>
              <w:t>+0.151</w:t>
            </w:r>
          </w:p>
        </w:tc>
        <w:tc>
          <w:tcPr>
            <w:tcW w:w="1080" w:type="dxa"/>
            <w:vAlign w:val="center"/>
          </w:tcPr>
          <w:p w14:paraId="024C2051" w14:textId="77777777" w:rsidR="002D6DB2" w:rsidRPr="00877D45" w:rsidRDefault="002D6DB2" w:rsidP="00E644E7">
            <w:pPr>
              <w:spacing w:before="20" w:after="20"/>
              <w:jc w:val="center"/>
              <w:rPr>
                <w:rFonts w:cs="Times New Roman"/>
              </w:rPr>
            </w:pPr>
            <w:r w:rsidRPr="00877D45">
              <w:rPr>
                <w:rFonts w:cs="Times New Roman"/>
                <w:sz w:val="20"/>
              </w:rPr>
              <w:t>0.497</w:t>
            </w:r>
          </w:p>
        </w:tc>
        <w:tc>
          <w:tcPr>
            <w:tcW w:w="2232" w:type="dxa"/>
            <w:vAlign w:val="center"/>
          </w:tcPr>
          <w:p w14:paraId="3D806BF6" w14:textId="77777777" w:rsidR="002D6DB2" w:rsidRPr="00877D45" w:rsidRDefault="002D6DB2" w:rsidP="00E644E7">
            <w:pPr>
              <w:spacing w:before="20" w:after="20"/>
              <w:jc w:val="center"/>
              <w:rPr>
                <w:rFonts w:cs="Times New Roman"/>
              </w:rPr>
            </w:pPr>
            <w:r w:rsidRPr="00877D45">
              <w:rPr>
                <w:rFonts w:cs="Times New Roman"/>
                <w:sz w:val="20"/>
              </w:rPr>
              <w:t>[−0.82, +1.13]</w:t>
            </w:r>
          </w:p>
        </w:tc>
        <w:tc>
          <w:tcPr>
            <w:tcW w:w="1224" w:type="dxa"/>
            <w:vAlign w:val="center"/>
          </w:tcPr>
          <w:p w14:paraId="02BAA07A" w14:textId="77777777" w:rsidR="002D6DB2" w:rsidRPr="00877D45" w:rsidRDefault="002D6DB2" w:rsidP="00E644E7">
            <w:pPr>
              <w:spacing w:before="20" w:after="20"/>
              <w:jc w:val="center"/>
              <w:rPr>
                <w:rFonts w:cs="Times New Roman"/>
              </w:rPr>
            </w:pPr>
            <w:r w:rsidRPr="00877D45">
              <w:rPr>
                <w:rFonts w:cs="Times New Roman"/>
                <w:sz w:val="20"/>
              </w:rPr>
              <w:t>0.761</w:t>
            </w:r>
          </w:p>
        </w:tc>
        <w:tc>
          <w:tcPr>
            <w:tcW w:w="936" w:type="dxa"/>
            <w:vAlign w:val="center"/>
          </w:tcPr>
          <w:p w14:paraId="4CAB2636" w14:textId="77777777" w:rsidR="002D6DB2" w:rsidRPr="00877D45" w:rsidRDefault="002D6DB2" w:rsidP="00E644E7">
            <w:pPr>
              <w:spacing w:before="20" w:after="20"/>
              <w:jc w:val="center"/>
              <w:rPr>
                <w:rFonts w:cs="Times New Roman"/>
              </w:rPr>
            </w:pPr>
          </w:p>
        </w:tc>
      </w:tr>
      <w:tr w:rsidR="002D6DB2" w:rsidRPr="00877D45" w14:paraId="449F23A5" w14:textId="77777777" w:rsidTr="00E644E7">
        <w:trPr>
          <w:jc w:val="center"/>
        </w:trPr>
        <w:tc>
          <w:tcPr>
            <w:tcW w:w="1512" w:type="dxa"/>
            <w:vAlign w:val="center"/>
          </w:tcPr>
          <w:p w14:paraId="752291D9" w14:textId="77777777" w:rsidR="002D6DB2" w:rsidRPr="00877D45" w:rsidRDefault="002D6DB2" w:rsidP="00E644E7">
            <w:pPr>
              <w:spacing w:before="20" w:after="20"/>
              <w:rPr>
                <w:rFonts w:cs="Times New Roman"/>
              </w:rPr>
            </w:pPr>
            <w:r w:rsidRPr="00877D45">
              <w:rPr>
                <w:rFonts w:cs="Times New Roman"/>
                <w:sz w:val="20"/>
              </w:rPr>
              <w:t>2019 (ref)</w:t>
            </w:r>
          </w:p>
        </w:tc>
        <w:tc>
          <w:tcPr>
            <w:tcW w:w="1224" w:type="dxa"/>
            <w:vAlign w:val="center"/>
          </w:tcPr>
          <w:p w14:paraId="4A422B11" w14:textId="77777777" w:rsidR="002D6DB2" w:rsidRPr="00877D45" w:rsidRDefault="002D6DB2" w:rsidP="00E644E7">
            <w:pPr>
              <w:spacing w:before="20" w:after="20"/>
              <w:jc w:val="center"/>
              <w:rPr>
                <w:rFonts w:cs="Times New Roman"/>
              </w:rPr>
            </w:pPr>
            <w:r w:rsidRPr="00877D45">
              <w:rPr>
                <w:rFonts w:cs="Times New Roman"/>
                <w:sz w:val="20"/>
              </w:rPr>
              <w:t>0.000</w:t>
            </w:r>
          </w:p>
        </w:tc>
        <w:tc>
          <w:tcPr>
            <w:tcW w:w="1080" w:type="dxa"/>
            <w:vAlign w:val="center"/>
          </w:tcPr>
          <w:p w14:paraId="677B011E" w14:textId="77777777" w:rsidR="002D6DB2" w:rsidRPr="00877D45" w:rsidRDefault="002D6DB2" w:rsidP="00E644E7">
            <w:pPr>
              <w:spacing w:before="20" w:after="20"/>
              <w:jc w:val="center"/>
              <w:rPr>
                <w:rFonts w:cs="Times New Roman"/>
              </w:rPr>
            </w:pPr>
            <w:r w:rsidRPr="00877D45">
              <w:rPr>
                <w:rFonts w:cs="Times New Roman"/>
                <w:sz w:val="20"/>
              </w:rPr>
              <w:t>—</w:t>
            </w:r>
          </w:p>
        </w:tc>
        <w:tc>
          <w:tcPr>
            <w:tcW w:w="2232" w:type="dxa"/>
            <w:vAlign w:val="center"/>
          </w:tcPr>
          <w:p w14:paraId="74E6C2D9" w14:textId="77777777" w:rsidR="002D6DB2" w:rsidRPr="00877D45" w:rsidRDefault="002D6DB2" w:rsidP="00E644E7">
            <w:pPr>
              <w:spacing w:before="20" w:after="20"/>
              <w:jc w:val="center"/>
              <w:rPr>
                <w:rFonts w:cs="Times New Roman"/>
              </w:rPr>
            </w:pPr>
            <w:r w:rsidRPr="00877D45">
              <w:rPr>
                <w:rFonts w:cs="Times New Roman"/>
                <w:sz w:val="20"/>
              </w:rPr>
              <w:t>—</w:t>
            </w:r>
          </w:p>
        </w:tc>
        <w:tc>
          <w:tcPr>
            <w:tcW w:w="1224" w:type="dxa"/>
            <w:vAlign w:val="center"/>
          </w:tcPr>
          <w:p w14:paraId="53CDEEB3" w14:textId="77777777" w:rsidR="002D6DB2" w:rsidRPr="00877D45" w:rsidRDefault="002D6DB2" w:rsidP="00E644E7">
            <w:pPr>
              <w:spacing w:before="20" w:after="20"/>
              <w:jc w:val="center"/>
              <w:rPr>
                <w:rFonts w:cs="Times New Roman"/>
              </w:rPr>
            </w:pPr>
            <w:r w:rsidRPr="00877D45">
              <w:rPr>
                <w:rFonts w:cs="Times New Roman"/>
                <w:sz w:val="20"/>
              </w:rPr>
              <w:t>—</w:t>
            </w:r>
          </w:p>
        </w:tc>
        <w:tc>
          <w:tcPr>
            <w:tcW w:w="936" w:type="dxa"/>
            <w:vAlign w:val="center"/>
          </w:tcPr>
          <w:p w14:paraId="1E4B2A36" w14:textId="77777777" w:rsidR="002D6DB2" w:rsidRPr="00877D45" w:rsidRDefault="002D6DB2" w:rsidP="00E644E7">
            <w:pPr>
              <w:spacing w:before="20" w:after="20"/>
              <w:jc w:val="center"/>
              <w:rPr>
                <w:rFonts w:cs="Times New Roman"/>
              </w:rPr>
            </w:pPr>
            <w:r w:rsidRPr="00877D45">
              <w:rPr>
                <w:rFonts w:cs="Times New Roman"/>
                <w:sz w:val="20"/>
              </w:rPr>
              <w:t>ref</w:t>
            </w:r>
          </w:p>
        </w:tc>
      </w:tr>
      <w:tr w:rsidR="002D6DB2" w:rsidRPr="00877D45" w14:paraId="3574FA3B" w14:textId="77777777" w:rsidTr="00E644E7">
        <w:trPr>
          <w:jc w:val="center"/>
        </w:trPr>
        <w:tc>
          <w:tcPr>
            <w:tcW w:w="1512" w:type="dxa"/>
            <w:vAlign w:val="center"/>
          </w:tcPr>
          <w:p w14:paraId="28275C77" w14:textId="77777777" w:rsidR="002D6DB2" w:rsidRPr="00877D45" w:rsidRDefault="002D6DB2" w:rsidP="00E644E7">
            <w:pPr>
              <w:spacing w:before="20" w:after="20"/>
              <w:rPr>
                <w:rFonts w:cs="Times New Roman"/>
              </w:rPr>
            </w:pPr>
            <w:r w:rsidRPr="00877D45">
              <w:rPr>
                <w:rFonts w:cs="Times New Roman"/>
                <w:sz w:val="20"/>
              </w:rPr>
              <w:t>2020</w:t>
            </w:r>
          </w:p>
        </w:tc>
        <w:tc>
          <w:tcPr>
            <w:tcW w:w="1224" w:type="dxa"/>
            <w:vAlign w:val="center"/>
          </w:tcPr>
          <w:p w14:paraId="09130DD0" w14:textId="77777777" w:rsidR="002D6DB2" w:rsidRPr="00877D45" w:rsidRDefault="002D6DB2" w:rsidP="00E644E7">
            <w:pPr>
              <w:spacing w:before="20" w:after="20"/>
              <w:jc w:val="center"/>
              <w:rPr>
                <w:rFonts w:cs="Times New Roman"/>
              </w:rPr>
            </w:pPr>
            <w:r w:rsidRPr="00877D45">
              <w:rPr>
                <w:rFonts w:cs="Times New Roman"/>
                <w:sz w:val="20"/>
              </w:rPr>
              <w:t>−0.744</w:t>
            </w:r>
          </w:p>
        </w:tc>
        <w:tc>
          <w:tcPr>
            <w:tcW w:w="1080" w:type="dxa"/>
            <w:vAlign w:val="center"/>
          </w:tcPr>
          <w:p w14:paraId="3B058A1A" w14:textId="77777777" w:rsidR="002D6DB2" w:rsidRPr="00877D45" w:rsidRDefault="002D6DB2" w:rsidP="00E644E7">
            <w:pPr>
              <w:spacing w:before="20" w:after="20"/>
              <w:jc w:val="center"/>
              <w:rPr>
                <w:rFonts w:cs="Times New Roman"/>
              </w:rPr>
            </w:pPr>
            <w:r w:rsidRPr="00877D45">
              <w:rPr>
                <w:rFonts w:cs="Times New Roman"/>
                <w:sz w:val="20"/>
              </w:rPr>
              <w:t>0.253</w:t>
            </w:r>
          </w:p>
        </w:tc>
        <w:tc>
          <w:tcPr>
            <w:tcW w:w="2232" w:type="dxa"/>
            <w:vAlign w:val="center"/>
          </w:tcPr>
          <w:p w14:paraId="5E8FE15C" w14:textId="77777777" w:rsidR="002D6DB2" w:rsidRPr="00877D45" w:rsidRDefault="002D6DB2" w:rsidP="00E644E7">
            <w:pPr>
              <w:spacing w:before="20" w:after="20"/>
              <w:jc w:val="center"/>
              <w:rPr>
                <w:rFonts w:cs="Times New Roman"/>
              </w:rPr>
            </w:pPr>
            <w:r w:rsidRPr="00877D45">
              <w:rPr>
                <w:rFonts w:cs="Times New Roman"/>
                <w:sz w:val="20"/>
              </w:rPr>
              <w:t>[−1.24, −0.25]</w:t>
            </w:r>
          </w:p>
        </w:tc>
        <w:tc>
          <w:tcPr>
            <w:tcW w:w="1224" w:type="dxa"/>
            <w:vAlign w:val="center"/>
          </w:tcPr>
          <w:p w14:paraId="50C55F10" w14:textId="77777777" w:rsidR="002D6DB2" w:rsidRPr="00877D45" w:rsidRDefault="002D6DB2" w:rsidP="00E644E7">
            <w:pPr>
              <w:spacing w:before="20" w:after="20"/>
              <w:jc w:val="center"/>
              <w:rPr>
                <w:rFonts w:cs="Times New Roman"/>
              </w:rPr>
            </w:pPr>
            <w:r w:rsidRPr="00877D45">
              <w:rPr>
                <w:rFonts w:cs="Times New Roman"/>
                <w:sz w:val="20"/>
              </w:rPr>
              <w:t>0.003</w:t>
            </w:r>
          </w:p>
        </w:tc>
        <w:tc>
          <w:tcPr>
            <w:tcW w:w="936" w:type="dxa"/>
            <w:vAlign w:val="center"/>
          </w:tcPr>
          <w:p w14:paraId="3EDCBE15" w14:textId="77777777" w:rsidR="002D6DB2" w:rsidRPr="00877D45" w:rsidRDefault="002D6DB2" w:rsidP="00E644E7">
            <w:pPr>
              <w:spacing w:before="20" w:after="20"/>
              <w:jc w:val="center"/>
              <w:rPr>
                <w:rFonts w:cs="Times New Roman"/>
              </w:rPr>
            </w:pPr>
            <w:r w:rsidRPr="00877D45">
              <w:rPr>
                <w:rFonts w:cs="Times New Roman"/>
                <w:sz w:val="20"/>
              </w:rPr>
              <w:t>**</w:t>
            </w:r>
          </w:p>
        </w:tc>
      </w:tr>
      <w:tr w:rsidR="002D6DB2" w:rsidRPr="00877D45" w14:paraId="07DD257B" w14:textId="77777777" w:rsidTr="00E644E7">
        <w:trPr>
          <w:jc w:val="center"/>
        </w:trPr>
        <w:tc>
          <w:tcPr>
            <w:tcW w:w="1512" w:type="dxa"/>
            <w:vAlign w:val="center"/>
          </w:tcPr>
          <w:p w14:paraId="63B071AA" w14:textId="77777777" w:rsidR="002D6DB2" w:rsidRPr="00877D45" w:rsidRDefault="002D6DB2" w:rsidP="00E644E7">
            <w:pPr>
              <w:spacing w:before="20" w:after="20"/>
              <w:rPr>
                <w:rFonts w:cs="Times New Roman"/>
              </w:rPr>
            </w:pPr>
            <w:r w:rsidRPr="00877D45">
              <w:rPr>
                <w:rFonts w:cs="Times New Roman"/>
                <w:sz w:val="20"/>
              </w:rPr>
              <w:t>2021</w:t>
            </w:r>
          </w:p>
        </w:tc>
        <w:tc>
          <w:tcPr>
            <w:tcW w:w="1224" w:type="dxa"/>
            <w:vAlign w:val="center"/>
          </w:tcPr>
          <w:p w14:paraId="0305647F" w14:textId="77777777" w:rsidR="002D6DB2" w:rsidRPr="00877D45" w:rsidRDefault="002D6DB2" w:rsidP="00E644E7">
            <w:pPr>
              <w:spacing w:before="20" w:after="20"/>
              <w:jc w:val="center"/>
              <w:rPr>
                <w:rFonts w:cs="Times New Roman"/>
              </w:rPr>
            </w:pPr>
            <w:r w:rsidRPr="00877D45">
              <w:rPr>
                <w:rFonts w:cs="Times New Roman"/>
                <w:sz w:val="20"/>
              </w:rPr>
              <w:t>−0.749</w:t>
            </w:r>
          </w:p>
        </w:tc>
        <w:tc>
          <w:tcPr>
            <w:tcW w:w="1080" w:type="dxa"/>
            <w:vAlign w:val="center"/>
          </w:tcPr>
          <w:p w14:paraId="00ED1888" w14:textId="77777777" w:rsidR="002D6DB2" w:rsidRPr="00877D45" w:rsidRDefault="002D6DB2" w:rsidP="00E644E7">
            <w:pPr>
              <w:spacing w:before="20" w:after="20"/>
              <w:jc w:val="center"/>
              <w:rPr>
                <w:rFonts w:cs="Times New Roman"/>
              </w:rPr>
            </w:pPr>
            <w:r w:rsidRPr="00877D45">
              <w:rPr>
                <w:rFonts w:cs="Times New Roman"/>
                <w:sz w:val="20"/>
              </w:rPr>
              <w:t>0.290</w:t>
            </w:r>
          </w:p>
        </w:tc>
        <w:tc>
          <w:tcPr>
            <w:tcW w:w="2232" w:type="dxa"/>
            <w:vAlign w:val="center"/>
          </w:tcPr>
          <w:p w14:paraId="22D2DC52" w14:textId="77777777" w:rsidR="002D6DB2" w:rsidRPr="00877D45" w:rsidRDefault="002D6DB2" w:rsidP="00E644E7">
            <w:pPr>
              <w:spacing w:before="20" w:after="20"/>
              <w:jc w:val="center"/>
              <w:rPr>
                <w:rFonts w:cs="Times New Roman"/>
              </w:rPr>
            </w:pPr>
            <w:r w:rsidRPr="00877D45">
              <w:rPr>
                <w:rFonts w:cs="Times New Roman"/>
                <w:sz w:val="20"/>
              </w:rPr>
              <w:t>[−1.32, −0.18]</w:t>
            </w:r>
          </w:p>
        </w:tc>
        <w:tc>
          <w:tcPr>
            <w:tcW w:w="1224" w:type="dxa"/>
            <w:vAlign w:val="center"/>
          </w:tcPr>
          <w:p w14:paraId="0E5B0822" w14:textId="77777777" w:rsidR="002D6DB2" w:rsidRPr="00877D45" w:rsidRDefault="002D6DB2" w:rsidP="00E644E7">
            <w:pPr>
              <w:spacing w:before="20" w:after="20"/>
              <w:jc w:val="center"/>
              <w:rPr>
                <w:rFonts w:cs="Times New Roman"/>
              </w:rPr>
            </w:pPr>
            <w:r w:rsidRPr="00877D45">
              <w:rPr>
                <w:rFonts w:cs="Times New Roman"/>
                <w:sz w:val="20"/>
              </w:rPr>
              <w:t>0.010</w:t>
            </w:r>
          </w:p>
        </w:tc>
        <w:tc>
          <w:tcPr>
            <w:tcW w:w="936" w:type="dxa"/>
            <w:vAlign w:val="center"/>
          </w:tcPr>
          <w:p w14:paraId="5553B896" w14:textId="77777777" w:rsidR="002D6DB2" w:rsidRPr="00877D45" w:rsidRDefault="002D6DB2" w:rsidP="00E644E7">
            <w:pPr>
              <w:spacing w:before="20" w:after="20"/>
              <w:jc w:val="center"/>
              <w:rPr>
                <w:rFonts w:cs="Times New Roman"/>
              </w:rPr>
            </w:pPr>
            <w:r w:rsidRPr="00877D45">
              <w:rPr>
                <w:rFonts w:cs="Times New Roman"/>
                <w:sz w:val="20"/>
              </w:rPr>
              <w:t>**</w:t>
            </w:r>
          </w:p>
        </w:tc>
      </w:tr>
      <w:tr w:rsidR="002D6DB2" w:rsidRPr="00877D45" w14:paraId="359E5CD7" w14:textId="77777777" w:rsidTr="00E644E7">
        <w:trPr>
          <w:jc w:val="center"/>
        </w:trPr>
        <w:tc>
          <w:tcPr>
            <w:tcW w:w="1512" w:type="dxa"/>
            <w:vAlign w:val="center"/>
          </w:tcPr>
          <w:p w14:paraId="49F38659" w14:textId="77777777" w:rsidR="002D6DB2" w:rsidRPr="00877D45" w:rsidRDefault="002D6DB2" w:rsidP="00E644E7">
            <w:pPr>
              <w:spacing w:before="20" w:after="20"/>
              <w:rPr>
                <w:rFonts w:cs="Times New Roman"/>
              </w:rPr>
            </w:pPr>
            <w:r w:rsidRPr="00877D45">
              <w:rPr>
                <w:rFonts w:cs="Times New Roman"/>
                <w:sz w:val="20"/>
              </w:rPr>
              <w:t>2022</w:t>
            </w:r>
          </w:p>
        </w:tc>
        <w:tc>
          <w:tcPr>
            <w:tcW w:w="1224" w:type="dxa"/>
            <w:vAlign w:val="center"/>
          </w:tcPr>
          <w:p w14:paraId="1E75D3AF" w14:textId="77777777" w:rsidR="002D6DB2" w:rsidRPr="00877D45" w:rsidRDefault="002D6DB2" w:rsidP="00E644E7">
            <w:pPr>
              <w:spacing w:before="20" w:after="20"/>
              <w:jc w:val="center"/>
              <w:rPr>
                <w:rFonts w:cs="Times New Roman"/>
              </w:rPr>
            </w:pPr>
            <w:r w:rsidRPr="00877D45">
              <w:rPr>
                <w:rFonts w:cs="Times New Roman"/>
                <w:sz w:val="20"/>
              </w:rPr>
              <w:t>−0.778</w:t>
            </w:r>
          </w:p>
        </w:tc>
        <w:tc>
          <w:tcPr>
            <w:tcW w:w="1080" w:type="dxa"/>
            <w:vAlign w:val="center"/>
          </w:tcPr>
          <w:p w14:paraId="2946A1C3" w14:textId="77777777" w:rsidR="002D6DB2" w:rsidRPr="00877D45" w:rsidRDefault="002D6DB2" w:rsidP="00E644E7">
            <w:pPr>
              <w:spacing w:before="20" w:after="20"/>
              <w:jc w:val="center"/>
              <w:rPr>
                <w:rFonts w:cs="Times New Roman"/>
              </w:rPr>
            </w:pPr>
            <w:r w:rsidRPr="00877D45">
              <w:rPr>
                <w:rFonts w:cs="Times New Roman"/>
                <w:sz w:val="20"/>
              </w:rPr>
              <w:t>0.309</w:t>
            </w:r>
          </w:p>
        </w:tc>
        <w:tc>
          <w:tcPr>
            <w:tcW w:w="2232" w:type="dxa"/>
            <w:vAlign w:val="center"/>
          </w:tcPr>
          <w:p w14:paraId="15B890BB" w14:textId="77777777" w:rsidR="002D6DB2" w:rsidRPr="00877D45" w:rsidRDefault="002D6DB2" w:rsidP="00E644E7">
            <w:pPr>
              <w:spacing w:before="20" w:after="20"/>
              <w:jc w:val="center"/>
              <w:rPr>
                <w:rFonts w:cs="Times New Roman"/>
              </w:rPr>
            </w:pPr>
            <w:r w:rsidRPr="00877D45">
              <w:rPr>
                <w:rFonts w:cs="Times New Roman"/>
                <w:sz w:val="20"/>
              </w:rPr>
              <w:t>[−1.38, −0.17]</w:t>
            </w:r>
          </w:p>
        </w:tc>
        <w:tc>
          <w:tcPr>
            <w:tcW w:w="1224" w:type="dxa"/>
            <w:vAlign w:val="center"/>
          </w:tcPr>
          <w:p w14:paraId="64951612" w14:textId="77777777" w:rsidR="002D6DB2" w:rsidRPr="00877D45" w:rsidRDefault="002D6DB2" w:rsidP="00E644E7">
            <w:pPr>
              <w:spacing w:before="20" w:after="20"/>
              <w:jc w:val="center"/>
              <w:rPr>
                <w:rFonts w:cs="Times New Roman"/>
              </w:rPr>
            </w:pPr>
            <w:r w:rsidRPr="00877D45">
              <w:rPr>
                <w:rFonts w:cs="Times New Roman"/>
                <w:sz w:val="20"/>
              </w:rPr>
              <w:t>0.012</w:t>
            </w:r>
          </w:p>
        </w:tc>
        <w:tc>
          <w:tcPr>
            <w:tcW w:w="936" w:type="dxa"/>
            <w:vAlign w:val="center"/>
          </w:tcPr>
          <w:p w14:paraId="467C9CF6" w14:textId="77777777" w:rsidR="002D6DB2" w:rsidRPr="00877D45" w:rsidRDefault="002D6DB2" w:rsidP="00E644E7">
            <w:pPr>
              <w:spacing w:before="20" w:after="20"/>
              <w:jc w:val="center"/>
              <w:rPr>
                <w:rFonts w:cs="Times New Roman"/>
              </w:rPr>
            </w:pPr>
            <w:r w:rsidRPr="00877D45">
              <w:rPr>
                <w:rFonts w:cs="Times New Roman"/>
                <w:sz w:val="20"/>
              </w:rPr>
              <w:t>*</w:t>
            </w:r>
          </w:p>
        </w:tc>
      </w:tr>
      <w:tr w:rsidR="002D6DB2" w:rsidRPr="00877D45" w14:paraId="4BD7414A" w14:textId="77777777" w:rsidTr="00E644E7">
        <w:trPr>
          <w:jc w:val="center"/>
        </w:trPr>
        <w:tc>
          <w:tcPr>
            <w:tcW w:w="1512" w:type="dxa"/>
            <w:vAlign w:val="center"/>
          </w:tcPr>
          <w:p w14:paraId="175C64EC" w14:textId="77777777" w:rsidR="002D6DB2" w:rsidRPr="00877D45" w:rsidRDefault="002D6DB2" w:rsidP="00E644E7">
            <w:pPr>
              <w:spacing w:before="20" w:after="20"/>
              <w:rPr>
                <w:rFonts w:cs="Times New Roman"/>
              </w:rPr>
            </w:pPr>
            <w:r w:rsidRPr="00877D45">
              <w:rPr>
                <w:rFonts w:cs="Times New Roman"/>
                <w:sz w:val="20"/>
              </w:rPr>
              <w:t>2023</w:t>
            </w:r>
          </w:p>
        </w:tc>
        <w:tc>
          <w:tcPr>
            <w:tcW w:w="1224" w:type="dxa"/>
            <w:vAlign w:val="center"/>
          </w:tcPr>
          <w:p w14:paraId="4E9869C8" w14:textId="77777777" w:rsidR="002D6DB2" w:rsidRPr="00877D45" w:rsidRDefault="002D6DB2" w:rsidP="00E644E7">
            <w:pPr>
              <w:spacing w:before="20" w:after="20"/>
              <w:jc w:val="center"/>
              <w:rPr>
                <w:rFonts w:cs="Times New Roman"/>
              </w:rPr>
            </w:pPr>
            <w:r w:rsidRPr="00877D45">
              <w:rPr>
                <w:rFonts w:cs="Times New Roman"/>
                <w:sz w:val="20"/>
              </w:rPr>
              <w:t>−1.037</w:t>
            </w:r>
          </w:p>
        </w:tc>
        <w:tc>
          <w:tcPr>
            <w:tcW w:w="1080" w:type="dxa"/>
            <w:vAlign w:val="center"/>
          </w:tcPr>
          <w:p w14:paraId="481EF266" w14:textId="77777777" w:rsidR="002D6DB2" w:rsidRPr="00877D45" w:rsidRDefault="002D6DB2" w:rsidP="00E644E7">
            <w:pPr>
              <w:spacing w:before="20" w:after="20"/>
              <w:jc w:val="center"/>
              <w:rPr>
                <w:rFonts w:cs="Times New Roman"/>
              </w:rPr>
            </w:pPr>
            <w:r w:rsidRPr="00877D45">
              <w:rPr>
                <w:rFonts w:cs="Times New Roman"/>
                <w:sz w:val="20"/>
              </w:rPr>
              <w:t>0.337</w:t>
            </w:r>
          </w:p>
        </w:tc>
        <w:tc>
          <w:tcPr>
            <w:tcW w:w="2232" w:type="dxa"/>
            <w:vAlign w:val="center"/>
          </w:tcPr>
          <w:p w14:paraId="66461D9A" w14:textId="77777777" w:rsidR="002D6DB2" w:rsidRPr="00877D45" w:rsidRDefault="002D6DB2" w:rsidP="00E644E7">
            <w:pPr>
              <w:spacing w:before="20" w:after="20"/>
              <w:jc w:val="center"/>
              <w:rPr>
                <w:rFonts w:cs="Times New Roman"/>
              </w:rPr>
            </w:pPr>
            <w:r w:rsidRPr="00877D45">
              <w:rPr>
                <w:rFonts w:cs="Times New Roman"/>
                <w:sz w:val="20"/>
              </w:rPr>
              <w:t>[−1.70, −0.38]</w:t>
            </w:r>
          </w:p>
        </w:tc>
        <w:tc>
          <w:tcPr>
            <w:tcW w:w="1224" w:type="dxa"/>
            <w:vAlign w:val="center"/>
          </w:tcPr>
          <w:p w14:paraId="2AEA8206" w14:textId="77777777" w:rsidR="002D6DB2" w:rsidRPr="00877D45" w:rsidRDefault="002D6DB2" w:rsidP="00E644E7">
            <w:pPr>
              <w:spacing w:before="20" w:after="20"/>
              <w:jc w:val="center"/>
              <w:rPr>
                <w:rFonts w:cs="Times New Roman"/>
              </w:rPr>
            </w:pPr>
            <w:r w:rsidRPr="00877D45">
              <w:rPr>
                <w:rFonts w:cs="Times New Roman"/>
                <w:sz w:val="20"/>
              </w:rPr>
              <w:t>0.002</w:t>
            </w:r>
          </w:p>
        </w:tc>
        <w:tc>
          <w:tcPr>
            <w:tcW w:w="936" w:type="dxa"/>
            <w:vAlign w:val="center"/>
          </w:tcPr>
          <w:p w14:paraId="018AFB4C" w14:textId="77777777" w:rsidR="002D6DB2" w:rsidRPr="00877D45" w:rsidRDefault="002D6DB2" w:rsidP="00E644E7">
            <w:pPr>
              <w:spacing w:before="20" w:after="20"/>
              <w:jc w:val="center"/>
              <w:rPr>
                <w:rFonts w:cs="Times New Roman"/>
              </w:rPr>
            </w:pPr>
            <w:r w:rsidRPr="00877D45">
              <w:rPr>
                <w:rFonts w:cs="Times New Roman"/>
                <w:sz w:val="20"/>
              </w:rPr>
              <w:t>**</w:t>
            </w:r>
          </w:p>
        </w:tc>
      </w:tr>
    </w:tbl>
    <w:p w14:paraId="2A43F252" w14:textId="7ED910F2" w:rsidR="00702814" w:rsidRPr="00877D45" w:rsidRDefault="00EA4362" w:rsidP="00877D45">
      <w:pPr>
        <w:spacing w:after="0" w:line="480" w:lineRule="auto"/>
        <w:jc w:val="center"/>
        <w:rPr>
          <w:rFonts w:cs="Times New Roman"/>
          <w:b/>
          <w:bCs/>
        </w:rPr>
      </w:pPr>
      <w:r w:rsidRPr="00877D45">
        <w:rPr>
          <w:rFonts w:cs="Times New Roman"/>
          <w:b/>
          <w:bCs/>
        </w:rPr>
        <w:t xml:space="preserve">Table 3 </w:t>
      </w:r>
      <w:r w:rsidRPr="00877D45">
        <w:rPr>
          <w:rFonts w:cs="Times New Roman"/>
          <w:b/>
          <w:bCs/>
          <w:i/>
        </w:rPr>
        <w:t>Dynamic TWFE Event Study, Metro-Core Counties (Reference Year = 2019)</w:t>
      </w:r>
    </w:p>
    <w:p w14:paraId="0BB3FCB3" w14:textId="6444D726" w:rsidR="00702814" w:rsidRPr="00877D45" w:rsidRDefault="00000000">
      <w:pPr>
        <w:spacing w:after="0" w:line="480" w:lineRule="auto"/>
        <w:rPr>
          <w:rFonts w:cs="Times New Roman"/>
          <w:sz w:val="22"/>
        </w:rPr>
      </w:pPr>
      <w:r w:rsidRPr="00877D45">
        <w:rPr>
          <w:rFonts w:cs="Times New Roman"/>
          <w:i/>
          <w:sz w:val="22"/>
        </w:rPr>
        <w:t xml:space="preserve">Note. </w:t>
      </w:r>
      <w:r w:rsidRPr="00877D45">
        <w:rPr>
          <w:rFonts w:cs="Times New Roman"/>
          <w:sz w:val="22"/>
        </w:rPr>
        <w:t>Pre-trend joint Wald test: H₀: β₂₀₁₇ = β₂₀₁₈ = 0; χ</w:t>
      </w:r>
      <w:proofErr w:type="gramStart"/>
      <w:r w:rsidRPr="00877D45">
        <w:rPr>
          <w:rFonts w:cs="Times New Roman"/>
          <w:sz w:val="22"/>
        </w:rPr>
        <w:t>²(</w:t>
      </w:r>
      <w:proofErr w:type="gramEnd"/>
      <w:r w:rsidRPr="00877D45">
        <w:rPr>
          <w:rFonts w:cs="Times New Roman"/>
          <w:sz w:val="22"/>
        </w:rPr>
        <w:t xml:space="preserve">2) = </w:t>
      </w:r>
      <w:r w:rsidR="00F971C0">
        <w:rPr>
          <w:rFonts w:cs="Times New Roman"/>
          <w:sz w:val="22"/>
        </w:rPr>
        <w:t>1.853</w:t>
      </w:r>
      <w:r w:rsidRPr="00877D45">
        <w:rPr>
          <w:rFonts w:cs="Times New Roman"/>
          <w:sz w:val="22"/>
        </w:rPr>
        <w:t>, p = 0.</w:t>
      </w:r>
      <w:r w:rsidR="00F971C0">
        <w:rPr>
          <w:rFonts w:cs="Times New Roman"/>
          <w:sz w:val="22"/>
        </w:rPr>
        <w:t>3959</w:t>
      </w:r>
      <w:r w:rsidRPr="00877D45">
        <w:rPr>
          <w:rFonts w:cs="Times New Roman"/>
          <w:sz w:val="22"/>
        </w:rPr>
        <w:t>. Sample: 33 Metro-Core counties × 7 years (231 obs). County and year fixed effects; CRV1 SE. *** p &lt; .001, ** p &lt; .01, * p &lt; .05.</w:t>
      </w:r>
    </w:p>
    <w:p w14:paraId="37219D50" w14:textId="1F9CDC88" w:rsidR="002D6DB2" w:rsidRPr="00877D45" w:rsidRDefault="002D6DB2">
      <w:pPr>
        <w:spacing w:after="0" w:line="480" w:lineRule="auto"/>
        <w:rPr>
          <w:rFonts w:cs="Times New Roman"/>
        </w:rPr>
      </w:pPr>
      <w:r w:rsidRPr="00877D45">
        <w:rPr>
          <w:rFonts w:cs="Times New Roman"/>
          <w:noProof/>
        </w:rPr>
        <w:drawing>
          <wp:inline distT="0" distB="0" distL="0" distR="0" wp14:anchorId="5FC51868" wp14:editId="2746472B">
            <wp:extent cx="5760720" cy="2820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cbsa_event_study.png"/>
                    <pic:cNvPicPr/>
                  </pic:nvPicPr>
                  <pic:blipFill>
                    <a:blip r:embed="rId7"/>
                    <a:stretch>
                      <a:fillRect/>
                    </a:stretch>
                  </pic:blipFill>
                  <pic:spPr>
                    <a:xfrm>
                      <a:off x="0" y="0"/>
                      <a:ext cx="5760720" cy="2820150"/>
                    </a:xfrm>
                    <a:prstGeom prst="rect">
                      <a:avLst/>
                    </a:prstGeom>
                  </pic:spPr>
                </pic:pic>
              </a:graphicData>
            </a:graphic>
          </wp:inline>
        </w:drawing>
      </w:r>
    </w:p>
    <w:p w14:paraId="12F20864" w14:textId="5A2BF2E0" w:rsidR="00702814" w:rsidRPr="00877D45" w:rsidRDefault="00FF6B01" w:rsidP="00FF6B01">
      <w:pPr>
        <w:spacing w:after="0" w:line="480" w:lineRule="auto"/>
        <w:ind w:firstLine="720"/>
        <w:rPr>
          <w:rFonts w:cs="Times New Roman"/>
        </w:rPr>
      </w:pPr>
      <w:r w:rsidRPr="00877D45">
        <w:rPr>
          <w:rFonts w:cs="Times New Roman"/>
          <w:b/>
        </w:rPr>
        <w:t>4.4 TWFE with Supply Interaction</w:t>
      </w:r>
    </w:p>
    <w:p w14:paraId="6A38A1FE" w14:textId="21667135" w:rsidR="00702814" w:rsidRPr="00877D45" w:rsidRDefault="00000000">
      <w:pPr>
        <w:spacing w:after="0" w:line="480" w:lineRule="auto"/>
        <w:ind w:firstLine="720"/>
        <w:rPr>
          <w:rFonts w:cs="Times New Roman"/>
        </w:rPr>
      </w:pPr>
      <w:r w:rsidRPr="00877D45">
        <w:rPr>
          <w:rFonts w:cs="Times New Roman"/>
        </w:rPr>
        <w:t>Urban economics theory predicts that negative demand shocks translate into larger price declines where new construction cannot respond (Saiz 2010; Glaeser and Gyourko 2018). I test this using the pre-period (2017-2019) average price-to-income ratio among Metro-Core counties as a supply constraint proxy. The 33 Metro-Core counties are split at the median P/I ratio of 5.4</w:t>
      </w:r>
      <w:r w:rsidR="002D6DB2" w:rsidRPr="00877D45">
        <w:rPr>
          <w:rFonts w:cs="Times New Roman"/>
        </w:rPr>
        <w:t>1</w:t>
      </w:r>
    </w:p>
    <w:p w14:paraId="19AB79EC" w14:textId="2B4E0B72" w:rsidR="00702814" w:rsidRPr="00877D45" w:rsidRDefault="00000000">
      <w:pPr>
        <w:spacing w:after="0" w:line="480" w:lineRule="auto"/>
        <w:ind w:firstLine="720"/>
        <w:rPr>
          <w:rFonts w:cs="Times New Roman"/>
        </w:rPr>
      </w:pPr>
      <w:r w:rsidRPr="00877D45">
        <w:rPr>
          <w:rFonts w:cs="Times New Roman"/>
        </w:rPr>
        <w:lastRenderedPageBreak/>
        <w:t xml:space="preserve">Table </w:t>
      </w:r>
      <w:r w:rsidR="00C40519" w:rsidRPr="00877D45">
        <w:rPr>
          <w:rFonts w:cs="Times New Roman"/>
        </w:rPr>
        <w:t>4</w:t>
      </w:r>
      <w:r w:rsidRPr="00877D45">
        <w:rPr>
          <w:rFonts w:cs="Times New Roman"/>
        </w:rPr>
        <w:t xml:space="preserve"> examines whether the effect of WFH on housing prices differs by supply constraints, proxied by the pre-period price-to-income (P/I) ratio. In supply-constrained counties (high P/I), a one percentage point increase in the WFH rate is associated with a −1.1</w:t>
      </w:r>
      <w:r w:rsidR="002D6DB2" w:rsidRPr="00877D45">
        <w:rPr>
          <w:rFonts w:cs="Times New Roman"/>
        </w:rPr>
        <w:t>95</w:t>
      </w:r>
      <w:r w:rsidRPr="00877D45">
        <w:rPr>
          <w:rFonts w:cs="Times New Roman"/>
        </w:rPr>
        <w:t>% change in housing prices and statistically significant at 1% level. In contrast, the effect in supply-elastic counties is smaller in magnitude at −0.</w:t>
      </w:r>
      <w:r w:rsidR="002D6DB2" w:rsidRPr="00877D45">
        <w:rPr>
          <w:rFonts w:cs="Times New Roman"/>
        </w:rPr>
        <w:t>402</w:t>
      </w:r>
      <w:r w:rsidRPr="00877D45">
        <w:rPr>
          <w:rFonts w:cs="Times New Roman"/>
        </w:rPr>
        <w:t>% and statistically insignificant. The finding is directionally consistent with supply elasticity theory and Saiz (2010), but should be treated as suggestive given the limited power at this sample size.</w:t>
      </w:r>
    </w:p>
    <w:p w14:paraId="53CE8A0F" w14:textId="31B31536" w:rsidR="00702814" w:rsidRPr="00877D45" w:rsidRDefault="00000000" w:rsidP="00F00D9A">
      <w:pPr>
        <w:spacing w:after="0" w:line="480" w:lineRule="auto"/>
        <w:ind w:firstLine="720"/>
        <w:rPr>
          <w:rFonts w:cs="Times New Roman"/>
        </w:rPr>
      </w:pPr>
      <w:r w:rsidRPr="00877D45">
        <w:rPr>
          <w:rFonts w:cs="Times New Roman"/>
        </w:rPr>
        <w:t>The difference between the two groups is −0.</w:t>
      </w:r>
      <w:r w:rsidR="00A442ED" w:rsidRPr="00877D45">
        <w:rPr>
          <w:rFonts w:cs="Times New Roman"/>
        </w:rPr>
        <w:t>792</w:t>
      </w:r>
      <w:r w:rsidRPr="00877D45">
        <w:rPr>
          <w:rFonts w:cs="Times New Roman"/>
        </w:rPr>
        <w:t xml:space="preserve"> percentage points, which is statistically significant at the </w:t>
      </w:r>
      <w:r w:rsidR="00F971C0">
        <w:rPr>
          <w:rFonts w:cs="Times New Roman"/>
        </w:rPr>
        <w:t>10</w:t>
      </w:r>
      <w:r w:rsidRPr="00877D45">
        <w:rPr>
          <w:rFonts w:cs="Times New Roman"/>
        </w:rPr>
        <w:t>% level. This indicates that the negative effect of WFH on housing prices is significantly larger in supply-constrained counties.</w:t>
      </w:r>
    </w:p>
    <w:tbl>
      <w:tblPr>
        <w:tblStyle w:val="TableGrid"/>
        <w:tblW w:w="0" w:type="auto"/>
        <w:jc w:val="center"/>
        <w:tblLook w:val="04A0" w:firstRow="1" w:lastRow="0" w:firstColumn="1" w:lastColumn="0" w:noHBand="0" w:noVBand="1"/>
      </w:tblPr>
      <w:tblGrid>
        <w:gridCol w:w="3459"/>
        <w:gridCol w:w="1426"/>
        <w:gridCol w:w="1490"/>
        <w:gridCol w:w="1207"/>
        <w:gridCol w:w="1210"/>
        <w:gridCol w:w="784"/>
      </w:tblGrid>
      <w:tr w:rsidR="002D6DB2" w:rsidRPr="00877D45" w14:paraId="6130659E" w14:textId="77777777" w:rsidTr="002D6DB2">
        <w:trPr>
          <w:jc w:val="center"/>
        </w:trPr>
        <w:tc>
          <w:tcPr>
            <w:tcW w:w="3459" w:type="dxa"/>
            <w:shd w:val="clear" w:color="auto" w:fill="D0D8E4"/>
            <w:vAlign w:val="center"/>
          </w:tcPr>
          <w:p w14:paraId="649C9CCE" w14:textId="77777777" w:rsidR="002D6DB2" w:rsidRPr="00877D45" w:rsidRDefault="002D6DB2" w:rsidP="00E644E7">
            <w:pPr>
              <w:spacing w:before="40" w:after="40"/>
              <w:jc w:val="center"/>
              <w:rPr>
                <w:rFonts w:cs="Times New Roman"/>
              </w:rPr>
            </w:pPr>
            <w:r w:rsidRPr="00877D45">
              <w:rPr>
                <w:rFonts w:cs="Times New Roman"/>
                <w:b/>
                <w:sz w:val="20"/>
              </w:rPr>
              <w:t>Group</w:t>
            </w:r>
          </w:p>
        </w:tc>
        <w:tc>
          <w:tcPr>
            <w:tcW w:w="1426" w:type="dxa"/>
            <w:shd w:val="clear" w:color="auto" w:fill="D0D8E4"/>
            <w:vAlign w:val="center"/>
          </w:tcPr>
          <w:p w14:paraId="67386CD7" w14:textId="77777777" w:rsidR="002D6DB2" w:rsidRPr="00877D45" w:rsidRDefault="002D6DB2" w:rsidP="00E644E7">
            <w:pPr>
              <w:spacing w:before="40" w:after="40"/>
              <w:jc w:val="center"/>
              <w:rPr>
                <w:rFonts w:cs="Times New Roman"/>
              </w:rPr>
            </w:pPr>
            <w:r w:rsidRPr="00877D45">
              <w:rPr>
                <w:rFonts w:cs="Times New Roman"/>
                <w:b/>
                <w:sz w:val="20"/>
              </w:rPr>
              <w:t>Counties (N)</w:t>
            </w:r>
          </w:p>
        </w:tc>
        <w:tc>
          <w:tcPr>
            <w:tcW w:w="1490" w:type="dxa"/>
            <w:shd w:val="clear" w:color="auto" w:fill="D0D8E4"/>
            <w:vAlign w:val="center"/>
          </w:tcPr>
          <w:p w14:paraId="7AB4646B" w14:textId="77777777" w:rsidR="002D6DB2" w:rsidRPr="00877D45" w:rsidRDefault="002D6DB2" w:rsidP="00E644E7">
            <w:pPr>
              <w:spacing w:before="40" w:after="40"/>
              <w:jc w:val="center"/>
              <w:rPr>
                <w:rFonts w:cs="Times New Roman"/>
              </w:rPr>
            </w:pPr>
            <w:r w:rsidRPr="00877D45">
              <w:rPr>
                <w:rFonts w:cs="Times New Roman"/>
                <w:b/>
                <w:sz w:val="20"/>
              </w:rPr>
              <w:t>WFH Coef (%)</w:t>
            </w:r>
          </w:p>
        </w:tc>
        <w:tc>
          <w:tcPr>
            <w:tcW w:w="1207" w:type="dxa"/>
            <w:shd w:val="clear" w:color="auto" w:fill="D0D8E4"/>
            <w:vAlign w:val="center"/>
          </w:tcPr>
          <w:p w14:paraId="757D67C9" w14:textId="77777777" w:rsidR="002D6DB2" w:rsidRPr="00877D45" w:rsidRDefault="002D6DB2" w:rsidP="00E644E7">
            <w:pPr>
              <w:spacing w:before="40" w:after="40"/>
              <w:jc w:val="center"/>
              <w:rPr>
                <w:rFonts w:cs="Times New Roman"/>
              </w:rPr>
            </w:pPr>
            <w:r w:rsidRPr="00877D45">
              <w:rPr>
                <w:rFonts w:cs="Times New Roman"/>
                <w:b/>
                <w:sz w:val="20"/>
              </w:rPr>
              <w:t>SE (%)</w:t>
            </w:r>
          </w:p>
        </w:tc>
        <w:tc>
          <w:tcPr>
            <w:tcW w:w="1210" w:type="dxa"/>
            <w:shd w:val="clear" w:color="auto" w:fill="D0D8E4"/>
            <w:vAlign w:val="center"/>
          </w:tcPr>
          <w:p w14:paraId="6703813A" w14:textId="77777777" w:rsidR="002D6DB2" w:rsidRPr="00877D45" w:rsidRDefault="002D6DB2" w:rsidP="00E644E7">
            <w:pPr>
              <w:spacing w:before="40" w:after="40"/>
              <w:jc w:val="center"/>
              <w:rPr>
                <w:rFonts w:cs="Times New Roman"/>
              </w:rPr>
            </w:pPr>
            <w:r w:rsidRPr="00877D45">
              <w:rPr>
                <w:rFonts w:cs="Times New Roman"/>
                <w:b/>
                <w:sz w:val="20"/>
              </w:rPr>
              <w:t>p-value</w:t>
            </w:r>
          </w:p>
        </w:tc>
        <w:tc>
          <w:tcPr>
            <w:tcW w:w="784" w:type="dxa"/>
            <w:shd w:val="clear" w:color="auto" w:fill="D0D8E4"/>
            <w:vAlign w:val="center"/>
          </w:tcPr>
          <w:p w14:paraId="0C818DFA" w14:textId="77777777" w:rsidR="002D6DB2" w:rsidRPr="00877D45" w:rsidRDefault="002D6DB2" w:rsidP="00E644E7">
            <w:pPr>
              <w:spacing w:before="40" w:after="40"/>
              <w:jc w:val="center"/>
              <w:rPr>
                <w:rFonts w:cs="Times New Roman"/>
              </w:rPr>
            </w:pPr>
            <w:r w:rsidRPr="00877D45">
              <w:rPr>
                <w:rFonts w:cs="Times New Roman"/>
                <w:b/>
                <w:sz w:val="20"/>
              </w:rPr>
              <w:t>Sig.</w:t>
            </w:r>
          </w:p>
        </w:tc>
      </w:tr>
      <w:tr w:rsidR="002D6DB2" w:rsidRPr="00877D45" w14:paraId="2A759734" w14:textId="77777777" w:rsidTr="002D6DB2">
        <w:trPr>
          <w:jc w:val="center"/>
        </w:trPr>
        <w:tc>
          <w:tcPr>
            <w:tcW w:w="3459" w:type="dxa"/>
            <w:vAlign w:val="center"/>
          </w:tcPr>
          <w:p w14:paraId="18B74846" w14:textId="77777777" w:rsidR="002D6DB2" w:rsidRPr="00877D45" w:rsidRDefault="002D6DB2" w:rsidP="00E644E7">
            <w:pPr>
              <w:spacing w:before="20" w:after="20"/>
              <w:rPr>
                <w:rFonts w:cs="Times New Roman"/>
              </w:rPr>
            </w:pPr>
            <w:r w:rsidRPr="00877D45">
              <w:rPr>
                <w:rFonts w:cs="Times New Roman"/>
                <w:sz w:val="20"/>
              </w:rPr>
              <w:t>Constrained (High P/I ≥ 5.41)</w:t>
            </w:r>
          </w:p>
        </w:tc>
        <w:tc>
          <w:tcPr>
            <w:tcW w:w="1426" w:type="dxa"/>
            <w:vAlign w:val="center"/>
          </w:tcPr>
          <w:p w14:paraId="4A5C7228" w14:textId="77777777" w:rsidR="002D6DB2" w:rsidRPr="00877D45" w:rsidRDefault="002D6DB2" w:rsidP="00E644E7">
            <w:pPr>
              <w:spacing w:before="20" w:after="20"/>
              <w:jc w:val="center"/>
              <w:rPr>
                <w:rFonts w:cs="Times New Roman"/>
              </w:rPr>
            </w:pPr>
            <w:r w:rsidRPr="00877D45">
              <w:rPr>
                <w:rFonts w:cs="Times New Roman"/>
                <w:sz w:val="20"/>
              </w:rPr>
              <w:t>17</w:t>
            </w:r>
          </w:p>
        </w:tc>
        <w:tc>
          <w:tcPr>
            <w:tcW w:w="1490" w:type="dxa"/>
            <w:vAlign w:val="center"/>
          </w:tcPr>
          <w:p w14:paraId="5794425F" w14:textId="77777777" w:rsidR="002D6DB2" w:rsidRPr="00877D45" w:rsidRDefault="002D6DB2" w:rsidP="00E644E7">
            <w:pPr>
              <w:spacing w:before="20" w:after="20"/>
              <w:jc w:val="center"/>
              <w:rPr>
                <w:rFonts w:cs="Times New Roman"/>
              </w:rPr>
            </w:pPr>
            <w:r w:rsidRPr="00877D45">
              <w:rPr>
                <w:rFonts w:cs="Times New Roman"/>
                <w:sz w:val="20"/>
              </w:rPr>
              <w:t>−1.195</w:t>
            </w:r>
          </w:p>
        </w:tc>
        <w:tc>
          <w:tcPr>
            <w:tcW w:w="1207" w:type="dxa"/>
            <w:vAlign w:val="center"/>
          </w:tcPr>
          <w:p w14:paraId="6DC3082E" w14:textId="77777777" w:rsidR="002D6DB2" w:rsidRPr="00877D45" w:rsidRDefault="002D6DB2" w:rsidP="00E644E7">
            <w:pPr>
              <w:spacing w:before="20" w:after="20"/>
              <w:jc w:val="center"/>
              <w:rPr>
                <w:rFonts w:cs="Times New Roman"/>
              </w:rPr>
            </w:pPr>
            <w:r w:rsidRPr="00877D45">
              <w:rPr>
                <w:rFonts w:cs="Times New Roman"/>
                <w:sz w:val="20"/>
              </w:rPr>
              <w:t>0.322</w:t>
            </w:r>
          </w:p>
        </w:tc>
        <w:tc>
          <w:tcPr>
            <w:tcW w:w="1210" w:type="dxa"/>
            <w:vAlign w:val="center"/>
          </w:tcPr>
          <w:p w14:paraId="6E1DCC76" w14:textId="77777777" w:rsidR="002D6DB2" w:rsidRPr="00877D45" w:rsidRDefault="002D6DB2" w:rsidP="00E644E7">
            <w:pPr>
              <w:spacing w:before="20" w:after="20"/>
              <w:jc w:val="center"/>
              <w:rPr>
                <w:rFonts w:cs="Times New Roman"/>
              </w:rPr>
            </w:pPr>
            <w:r w:rsidRPr="00877D45">
              <w:rPr>
                <w:rFonts w:cs="Times New Roman"/>
                <w:sz w:val="20"/>
              </w:rPr>
              <w:t>0.0002</w:t>
            </w:r>
          </w:p>
        </w:tc>
        <w:tc>
          <w:tcPr>
            <w:tcW w:w="784" w:type="dxa"/>
            <w:vAlign w:val="center"/>
          </w:tcPr>
          <w:p w14:paraId="0839BF89" w14:textId="77777777" w:rsidR="002D6DB2" w:rsidRPr="00877D45" w:rsidRDefault="002D6DB2" w:rsidP="00E644E7">
            <w:pPr>
              <w:spacing w:before="20" w:after="20"/>
              <w:jc w:val="center"/>
              <w:rPr>
                <w:rFonts w:cs="Times New Roman"/>
              </w:rPr>
            </w:pPr>
            <w:r w:rsidRPr="00877D45">
              <w:rPr>
                <w:rFonts w:cs="Times New Roman"/>
                <w:sz w:val="20"/>
              </w:rPr>
              <w:t>***</w:t>
            </w:r>
          </w:p>
        </w:tc>
      </w:tr>
      <w:tr w:rsidR="002D6DB2" w:rsidRPr="00877D45" w14:paraId="4ECDD21E" w14:textId="77777777" w:rsidTr="002D6DB2">
        <w:trPr>
          <w:jc w:val="center"/>
        </w:trPr>
        <w:tc>
          <w:tcPr>
            <w:tcW w:w="3459" w:type="dxa"/>
            <w:vAlign w:val="center"/>
          </w:tcPr>
          <w:p w14:paraId="7C3674B6" w14:textId="77777777" w:rsidR="002D6DB2" w:rsidRPr="00877D45" w:rsidRDefault="002D6DB2" w:rsidP="00E644E7">
            <w:pPr>
              <w:spacing w:before="20" w:after="20"/>
              <w:rPr>
                <w:rFonts w:cs="Times New Roman"/>
              </w:rPr>
            </w:pPr>
            <w:r w:rsidRPr="00877D45">
              <w:rPr>
                <w:rFonts w:cs="Times New Roman"/>
                <w:sz w:val="20"/>
              </w:rPr>
              <w:t>Elastic (Low P/I &lt; 5.41)</w:t>
            </w:r>
          </w:p>
        </w:tc>
        <w:tc>
          <w:tcPr>
            <w:tcW w:w="1426" w:type="dxa"/>
            <w:vAlign w:val="center"/>
          </w:tcPr>
          <w:p w14:paraId="50286D9E" w14:textId="77777777" w:rsidR="002D6DB2" w:rsidRPr="00877D45" w:rsidRDefault="002D6DB2" w:rsidP="00E644E7">
            <w:pPr>
              <w:spacing w:before="20" w:after="20"/>
              <w:jc w:val="center"/>
              <w:rPr>
                <w:rFonts w:cs="Times New Roman"/>
              </w:rPr>
            </w:pPr>
            <w:r w:rsidRPr="00877D45">
              <w:rPr>
                <w:rFonts w:cs="Times New Roman"/>
                <w:sz w:val="20"/>
              </w:rPr>
              <w:t>16</w:t>
            </w:r>
          </w:p>
        </w:tc>
        <w:tc>
          <w:tcPr>
            <w:tcW w:w="1490" w:type="dxa"/>
            <w:vAlign w:val="center"/>
          </w:tcPr>
          <w:p w14:paraId="3A0217D9" w14:textId="77777777" w:rsidR="002D6DB2" w:rsidRPr="00877D45" w:rsidRDefault="002D6DB2" w:rsidP="00E644E7">
            <w:pPr>
              <w:spacing w:before="20" w:after="20"/>
              <w:jc w:val="center"/>
              <w:rPr>
                <w:rFonts w:cs="Times New Roman"/>
              </w:rPr>
            </w:pPr>
            <w:r w:rsidRPr="00877D45">
              <w:rPr>
                <w:rFonts w:cs="Times New Roman"/>
                <w:sz w:val="20"/>
              </w:rPr>
              <w:t>−0.402</w:t>
            </w:r>
          </w:p>
        </w:tc>
        <w:tc>
          <w:tcPr>
            <w:tcW w:w="1207" w:type="dxa"/>
            <w:vAlign w:val="center"/>
          </w:tcPr>
          <w:p w14:paraId="7D59A450" w14:textId="77777777" w:rsidR="002D6DB2" w:rsidRPr="00877D45" w:rsidRDefault="002D6DB2" w:rsidP="00E644E7">
            <w:pPr>
              <w:spacing w:before="20" w:after="20"/>
              <w:jc w:val="center"/>
              <w:rPr>
                <w:rFonts w:cs="Times New Roman"/>
              </w:rPr>
            </w:pPr>
            <w:r w:rsidRPr="00877D45">
              <w:rPr>
                <w:rFonts w:cs="Times New Roman"/>
                <w:sz w:val="20"/>
              </w:rPr>
              <w:t>0.353</w:t>
            </w:r>
          </w:p>
        </w:tc>
        <w:tc>
          <w:tcPr>
            <w:tcW w:w="1210" w:type="dxa"/>
            <w:vAlign w:val="center"/>
          </w:tcPr>
          <w:p w14:paraId="73019203" w14:textId="77777777" w:rsidR="002D6DB2" w:rsidRPr="00877D45" w:rsidRDefault="002D6DB2" w:rsidP="00E644E7">
            <w:pPr>
              <w:spacing w:before="20" w:after="20"/>
              <w:jc w:val="center"/>
              <w:rPr>
                <w:rFonts w:cs="Times New Roman"/>
              </w:rPr>
            </w:pPr>
            <w:r w:rsidRPr="00877D45">
              <w:rPr>
                <w:rFonts w:cs="Times New Roman"/>
                <w:sz w:val="20"/>
              </w:rPr>
              <w:t>0.254</w:t>
            </w:r>
          </w:p>
        </w:tc>
        <w:tc>
          <w:tcPr>
            <w:tcW w:w="784" w:type="dxa"/>
            <w:vAlign w:val="center"/>
          </w:tcPr>
          <w:p w14:paraId="1E4B6E29" w14:textId="77777777" w:rsidR="002D6DB2" w:rsidRPr="00877D45" w:rsidRDefault="002D6DB2" w:rsidP="00E644E7">
            <w:pPr>
              <w:spacing w:before="20" w:after="20"/>
              <w:jc w:val="center"/>
              <w:rPr>
                <w:rFonts w:cs="Times New Roman"/>
              </w:rPr>
            </w:pPr>
          </w:p>
        </w:tc>
      </w:tr>
      <w:tr w:rsidR="002D6DB2" w:rsidRPr="00877D45" w14:paraId="6311326D" w14:textId="77777777" w:rsidTr="002D6DB2">
        <w:trPr>
          <w:jc w:val="center"/>
        </w:trPr>
        <w:tc>
          <w:tcPr>
            <w:tcW w:w="3459" w:type="dxa"/>
            <w:vAlign w:val="center"/>
          </w:tcPr>
          <w:p w14:paraId="49029DB8" w14:textId="77777777" w:rsidR="002D6DB2" w:rsidRPr="00877D45" w:rsidRDefault="002D6DB2" w:rsidP="00E644E7">
            <w:pPr>
              <w:spacing w:before="20" w:after="20"/>
              <w:rPr>
                <w:rFonts w:cs="Times New Roman"/>
              </w:rPr>
            </w:pPr>
            <w:r w:rsidRPr="00877D45">
              <w:rPr>
                <w:rFonts w:cs="Times New Roman"/>
                <w:sz w:val="20"/>
              </w:rPr>
              <w:t>Wald difference (Con − Ela)</w:t>
            </w:r>
          </w:p>
        </w:tc>
        <w:tc>
          <w:tcPr>
            <w:tcW w:w="1426" w:type="dxa"/>
            <w:vAlign w:val="center"/>
          </w:tcPr>
          <w:p w14:paraId="04696700" w14:textId="77777777" w:rsidR="002D6DB2" w:rsidRPr="00877D45" w:rsidRDefault="002D6DB2" w:rsidP="00E644E7">
            <w:pPr>
              <w:spacing w:before="20" w:after="20"/>
              <w:jc w:val="center"/>
              <w:rPr>
                <w:rFonts w:cs="Times New Roman"/>
              </w:rPr>
            </w:pPr>
            <w:r w:rsidRPr="00877D45">
              <w:rPr>
                <w:rFonts w:cs="Times New Roman"/>
                <w:sz w:val="20"/>
              </w:rPr>
              <w:t>—</w:t>
            </w:r>
          </w:p>
        </w:tc>
        <w:tc>
          <w:tcPr>
            <w:tcW w:w="1490" w:type="dxa"/>
            <w:vAlign w:val="center"/>
          </w:tcPr>
          <w:p w14:paraId="5AA12598" w14:textId="77777777" w:rsidR="002D6DB2" w:rsidRPr="00877D45" w:rsidRDefault="002D6DB2" w:rsidP="00E644E7">
            <w:pPr>
              <w:spacing w:before="20" w:after="20"/>
              <w:jc w:val="center"/>
              <w:rPr>
                <w:rFonts w:cs="Times New Roman"/>
              </w:rPr>
            </w:pPr>
            <w:r w:rsidRPr="00877D45">
              <w:rPr>
                <w:rFonts w:cs="Times New Roman"/>
                <w:sz w:val="20"/>
              </w:rPr>
              <w:t>−0.792</w:t>
            </w:r>
          </w:p>
        </w:tc>
        <w:tc>
          <w:tcPr>
            <w:tcW w:w="1207" w:type="dxa"/>
            <w:vAlign w:val="center"/>
          </w:tcPr>
          <w:p w14:paraId="732C13B4" w14:textId="77777777" w:rsidR="002D6DB2" w:rsidRPr="00877D45" w:rsidRDefault="002D6DB2" w:rsidP="00E644E7">
            <w:pPr>
              <w:spacing w:before="20" w:after="20"/>
              <w:jc w:val="center"/>
              <w:rPr>
                <w:rFonts w:cs="Times New Roman"/>
              </w:rPr>
            </w:pPr>
            <w:r w:rsidRPr="00877D45">
              <w:rPr>
                <w:rFonts w:cs="Times New Roman"/>
                <w:sz w:val="20"/>
              </w:rPr>
              <w:t>0.478</w:t>
            </w:r>
          </w:p>
        </w:tc>
        <w:tc>
          <w:tcPr>
            <w:tcW w:w="1210" w:type="dxa"/>
            <w:vAlign w:val="center"/>
          </w:tcPr>
          <w:p w14:paraId="7CFCD846" w14:textId="77777777" w:rsidR="002D6DB2" w:rsidRPr="00877D45" w:rsidRDefault="002D6DB2" w:rsidP="00E644E7">
            <w:pPr>
              <w:spacing w:before="20" w:after="20"/>
              <w:jc w:val="center"/>
              <w:rPr>
                <w:rFonts w:cs="Times New Roman"/>
              </w:rPr>
            </w:pPr>
            <w:r w:rsidRPr="00877D45">
              <w:rPr>
                <w:rFonts w:cs="Times New Roman"/>
                <w:sz w:val="20"/>
              </w:rPr>
              <w:t>0.097</w:t>
            </w:r>
          </w:p>
        </w:tc>
        <w:tc>
          <w:tcPr>
            <w:tcW w:w="784" w:type="dxa"/>
            <w:vAlign w:val="center"/>
          </w:tcPr>
          <w:p w14:paraId="0B01E740" w14:textId="77777777" w:rsidR="002D6DB2" w:rsidRPr="00877D45" w:rsidRDefault="002D6DB2" w:rsidP="00E644E7">
            <w:pPr>
              <w:spacing w:before="20" w:after="20"/>
              <w:jc w:val="center"/>
              <w:rPr>
                <w:rFonts w:cs="Times New Roman"/>
              </w:rPr>
            </w:pPr>
            <w:r w:rsidRPr="00877D45">
              <w:rPr>
                <w:rFonts w:cs="Times New Roman"/>
                <w:sz w:val="20"/>
              </w:rPr>
              <w:t>†</w:t>
            </w:r>
          </w:p>
        </w:tc>
      </w:tr>
    </w:tbl>
    <w:p w14:paraId="505B079B" w14:textId="56B991BE" w:rsidR="00702814" w:rsidRPr="00877D45" w:rsidRDefault="00F00D9A" w:rsidP="00F00D9A">
      <w:pPr>
        <w:spacing w:after="0" w:line="480" w:lineRule="auto"/>
        <w:jc w:val="center"/>
        <w:rPr>
          <w:rFonts w:cs="Times New Roman"/>
        </w:rPr>
      </w:pPr>
      <w:r w:rsidRPr="00877D45">
        <w:rPr>
          <w:rFonts w:cs="Times New Roman"/>
        </w:rPr>
        <w:t xml:space="preserve">Table 4 </w:t>
      </w:r>
      <w:r w:rsidRPr="00877D45">
        <w:rPr>
          <w:rFonts w:cs="Times New Roman"/>
          <w:i/>
        </w:rPr>
        <w:t>Supply Heterogeneity: Constrained vs. Elastic Metro-Core Counties</w:t>
      </w:r>
    </w:p>
    <w:p w14:paraId="4F3F95C8" w14:textId="77777777" w:rsidR="00702814" w:rsidRPr="00877D45" w:rsidRDefault="00000000">
      <w:pPr>
        <w:spacing w:after="0" w:line="480" w:lineRule="auto"/>
        <w:rPr>
          <w:rFonts w:cs="Times New Roman"/>
          <w:sz w:val="22"/>
        </w:rPr>
      </w:pPr>
      <w:r w:rsidRPr="00877D45">
        <w:rPr>
          <w:rFonts w:cs="Times New Roman"/>
          <w:i/>
          <w:sz w:val="22"/>
        </w:rPr>
        <w:t xml:space="preserve">Note. </w:t>
      </w:r>
      <w:r w:rsidRPr="00877D45">
        <w:rPr>
          <w:rFonts w:cs="Times New Roman"/>
          <w:sz w:val="22"/>
        </w:rPr>
        <w:t>P/I split at the median (5.41). Specification: log(Price) ~ WFH × Constrained + WFH × Elastic + log(Income) | County + Year. CRV1 SE. *** p &lt; .001, ** p &lt; .01, * p &lt; .05.</w:t>
      </w:r>
    </w:p>
    <w:p w14:paraId="06B3E70D" w14:textId="39B81227" w:rsidR="002D6DB2" w:rsidRPr="00877D45" w:rsidRDefault="002D6DB2">
      <w:pPr>
        <w:spacing w:after="0" w:line="480" w:lineRule="auto"/>
        <w:rPr>
          <w:rFonts w:cs="Times New Roman"/>
        </w:rPr>
      </w:pPr>
      <w:r w:rsidRPr="00877D45">
        <w:rPr>
          <w:rFonts w:cs="Times New Roman"/>
          <w:noProof/>
        </w:rPr>
        <w:lastRenderedPageBreak/>
        <w:drawing>
          <wp:inline distT="0" distB="0" distL="0" distR="0" wp14:anchorId="659D3F01" wp14:editId="5C86E539">
            <wp:extent cx="5760720" cy="298692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bsa_supply.png"/>
                    <pic:cNvPicPr/>
                  </pic:nvPicPr>
                  <pic:blipFill>
                    <a:blip r:embed="rId8"/>
                    <a:stretch>
                      <a:fillRect/>
                    </a:stretch>
                  </pic:blipFill>
                  <pic:spPr>
                    <a:xfrm>
                      <a:off x="0" y="0"/>
                      <a:ext cx="5760720" cy="2986924"/>
                    </a:xfrm>
                    <a:prstGeom prst="rect">
                      <a:avLst/>
                    </a:prstGeom>
                  </pic:spPr>
                </pic:pic>
              </a:graphicData>
            </a:graphic>
          </wp:inline>
        </w:drawing>
      </w:r>
    </w:p>
    <w:p w14:paraId="5561F6A4" w14:textId="72DFB2BE" w:rsidR="00702814" w:rsidRPr="00877D45" w:rsidRDefault="00000000" w:rsidP="00F425BB">
      <w:pPr>
        <w:pStyle w:val="ListParagraph"/>
        <w:numPr>
          <w:ilvl w:val="0"/>
          <w:numId w:val="11"/>
        </w:numPr>
        <w:spacing w:after="0" w:line="480" w:lineRule="auto"/>
        <w:rPr>
          <w:rFonts w:cs="Times New Roman"/>
        </w:rPr>
      </w:pPr>
      <w:r w:rsidRPr="00877D45">
        <w:rPr>
          <w:rFonts w:cs="Times New Roman"/>
          <w:b/>
        </w:rPr>
        <w:t>Robustness Check</w:t>
      </w:r>
    </w:p>
    <w:p w14:paraId="6388EA52" w14:textId="6344AB80" w:rsidR="00A442ED" w:rsidRPr="00877D45" w:rsidRDefault="00A442ED" w:rsidP="00A442ED">
      <w:pPr>
        <w:spacing w:after="120" w:line="440" w:lineRule="exact"/>
        <w:ind w:left="360" w:firstLine="360"/>
        <w:jc w:val="both"/>
        <w:rPr>
          <w:rFonts w:cs="Times New Roman"/>
        </w:rPr>
      </w:pPr>
      <w:r w:rsidRPr="00877D45">
        <w:rPr>
          <w:rFonts w:cs="Times New Roman"/>
        </w:rPr>
        <w:t xml:space="preserve">Table 5 summarizes six </w:t>
      </w:r>
      <w:proofErr w:type="gramStart"/>
      <w:r w:rsidRPr="00877D45">
        <w:rPr>
          <w:rFonts w:cs="Times New Roman"/>
        </w:rPr>
        <w:t>robustness</w:t>
      </w:r>
      <w:proofErr w:type="gramEnd"/>
      <w:r w:rsidRPr="00877D45">
        <w:rPr>
          <w:rFonts w:cs="Times New Roman"/>
        </w:rPr>
        <w:t xml:space="preserve"> specifications. The main estimate of −1.234%*** (Spec. R1) is robust across all checks.</w:t>
      </w:r>
    </w:p>
    <w:tbl>
      <w:tblPr>
        <w:tblStyle w:val="TableGrid"/>
        <w:tblW w:w="0" w:type="auto"/>
        <w:jc w:val="center"/>
        <w:tblLook w:val="04A0" w:firstRow="1" w:lastRow="0" w:firstColumn="1" w:lastColumn="0" w:noHBand="0" w:noVBand="1"/>
      </w:tblPr>
      <w:tblGrid>
        <w:gridCol w:w="666"/>
        <w:gridCol w:w="4032"/>
        <w:gridCol w:w="1440"/>
        <w:gridCol w:w="1080"/>
        <w:gridCol w:w="1224"/>
        <w:gridCol w:w="864"/>
      </w:tblGrid>
      <w:tr w:rsidR="00A442ED" w:rsidRPr="00877D45" w14:paraId="50AD70C3" w14:textId="77777777" w:rsidTr="00A442ED">
        <w:trPr>
          <w:jc w:val="center"/>
        </w:trPr>
        <w:tc>
          <w:tcPr>
            <w:tcW w:w="666" w:type="dxa"/>
            <w:shd w:val="clear" w:color="auto" w:fill="D0D8E4"/>
            <w:vAlign w:val="center"/>
          </w:tcPr>
          <w:p w14:paraId="75DCE5A9" w14:textId="77777777" w:rsidR="00A442ED" w:rsidRPr="00877D45" w:rsidRDefault="00A442ED" w:rsidP="00E644E7">
            <w:pPr>
              <w:spacing w:before="40" w:after="40"/>
              <w:jc w:val="center"/>
              <w:rPr>
                <w:rFonts w:cs="Times New Roman"/>
              </w:rPr>
            </w:pPr>
            <w:r w:rsidRPr="00877D45">
              <w:rPr>
                <w:rFonts w:cs="Times New Roman"/>
                <w:b/>
                <w:sz w:val="20"/>
              </w:rPr>
              <w:t>Spec.</w:t>
            </w:r>
          </w:p>
        </w:tc>
        <w:tc>
          <w:tcPr>
            <w:tcW w:w="4032" w:type="dxa"/>
            <w:shd w:val="clear" w:color="auto" w:fill="D0D8E4"/>
            <w:vAlign w:val="center"/>
          </w:tcPr>
          <w:p w14:paraId="36636A5F" w14:textId="77777777" w:rsidR="00A442ED" w:rsidRPr="00877D45" w:rsidRDefault="00A442ED" w:rsidP="00E644E7">
            <w:pPr>
              <w:spacing w:before="40" w:after="40"/>
              <w:jc w:val="center"/>
              <w:rPr>
                <w:rFonts w:cs="Times New Roman"/>
              </w:rPr>
            </w:pPr>
            <w:r w:rsidRPr="00877D45">
              <w:rPr>
                <w:rFonts w:cs="Times New Roman"/>
                <w:b/>
                <w:sz w:val="20"/>
              </w:rPr>
              <w:t>Description</w:t>
            </w:r>
          </w:p>
        </w:tc>
        <w:tc>
          <w:tcPr>
            <w:tcW w:w="1440" w:type="dxa"/>
            <w:shd w:val="clear" w:color="auto" w:fill="D0D8E4"/>
            <w:vAlign w:val="center"/>
          </w:tcPr>
          <w:p w14:paraId="1EF4A098" w14:textId="77777777" w:rsidR="00A442ED" w:rsidRPr="00877D45" w:rsidRDefault="00A442ED" w:rsidP="00E644E7">
            <w:pPr>
              <w:spacing w:before="40" w:after="40"/>
              <w:jc w:val="center"/>
              <w:rPr>
                <w:rFonts w:cs="Times New Roman"/>
              </w:rPr>
            </w:pPr>
            <w:r w:rsidRPr="00877D45">
              <w:rPr>
                <w:rFonts w:cs="Times New Roman"/>
                <w:b/>
                <w:sz w:val="20"/>
              </w:rPr>
              <w:t>WFH Coef (%)</w:t>
            </w:r>
          </w:p>
        </w:tc>
        <w:tc>
          <w:tcPr>
            <w:tcW w:w="1080" w:type="dxa"/>
            <w:shd w:val="clear" w:color="auto" w:fill="D0D8E4"/>
            <w:vAlign w:val="center"/>
          </w:tcPr>
          <w:p w14:paraId="29C1B825" w14:textId="77777777" w:rsidR="00A442ED" w:rsidRPr="00877D45" w:rsidRDefault="00A442ED" w:rsidP="00E644E7">
            <w:pPr>
              <w:spacing w:before="40" w:after="40"/>
              <w:jc w:val="center"/>
              <w:rPr>
                <w:rFonts w:cs="Times New Roman"/>
              </w:rPr>
            </w:pPr>
            <w:r w:rsidRPr="00877D45">
              <w:rPr>
                <w:rFonts w:cs="Times New Roman"/>
                <w:b/>
                <w:sz w:val="20"/>
              </w:rPr>
              <w:t>SE (%)</w:t>
            </w:r>
          </w:p>
        </w:tc>
        <w:tc>
          <w:tcPr>
            <w:tcW w:w="1224" w:type="dxa"/>
            <w:shd w:val="clear" w:color="auto" w:fill="D0D8E4"/>
            <w:vAlign w:val="center"/>
          </w:tcPr>
          <w:p w14:paraId="07C21D84" w14:textId="77777777" w:rsidR="00A442ED" w:rsidRPr="00877D45" w:rsidRDefault="00A442ED" w:rsidP="00E644E7">
            <w:pPr>
              <w:spacing w:before="40" w:after="40"/>
              <w:jc w:val="center"/>
              <w:rPr>
                <w:rFonts w:cs="Times New Roman"/>
              </w:rPr>
            </w:pPr>
            <w:r w:rsidRPr="00877D45">
              <w:rPr>
                <w:rFonts w:cs="Times New Roman"/>
                <w:b/>
                <w:sz w:val="20"/>
              </w:rPr>
              <w:t>p-value</w:t>
            </w:r>
          </w:p>
        </w:tc>
        <w:tc>
          <w:tcPr>
            <w:tcW w:w="864" w:type="dxa"/>
            <w:shd w:val="clear" w:color="auto" w:fill="D0D8E4"/>
            <w:vAlign w:val="center"/>
          </w:tcPr>
          <w:p w14:paraId="3CF2FBAA" w14:textId="77777777" w:rsidR="00A442ED" w:rsidRPr="00877D45" w:rsidRDefault="00A442ED" w:rsidP="00E644E7">
            <w:pPr>
              <w:spacing w:before="40" w:after="40"/>
              <w:jc w:val="center"/>
              <w:rPr>
                <w:rFonts w:cs="Times New Roman"/>
              </w:rPr>
            </w:pPr>
            <w:r w:rsidRPr="00877D45">
              <w:rPr>
                <w:rFonts w:cs="Times New Roman"/>
                <w:b/>
                <w:sz w:val="20"/>
              </w:rPr>
              <w:t>Sig.</w:t>
            </w:r>
          </w:p>
        </w:tc>
      </w:tr>
      <w:tr w:rsidR="00A442ED" w:rsidRPr="00877D45" w14:paraId="08665743" w14:textId="77777777" w:rsidTr="00A442ED">
        <w:trPr>
          <w:jc w:val="center"/>
        </w:trPr>
        <w:tc>
          <w:tcPr>
            <w:tcW w:w="666" w:type="dxa"/>
            <w:vAlign w:val="center"/>
          </w:tcPr>
          <w:p w14:paraId="28CBD809" w14:textId="77777777" w:rsidR="00A442ED" w:rsidRPr="00877D45" w:rsidRDefault="00A442ED" w:rsidP="00E644E7">
            <w:pPr>
              <w:spacing w:before="20" w:after="20"/>
              <w:rPr>
                <w:rFonts w:cs="Times New Roman"/>
              </w:rPr>
            </w:pPr>
            <w:r w:rsidRPr="00877D45">
              <w:rPr>
                <w:rFonts w:cs="Times New Roman"/>
                <w:sz w:val="20"/>
              </w:rPr>
              <w:t>R1</w:t>
            </w:r>
          </w:p>
        </w:tc>
        <w:tc>
          <w:tcPr>
            <w:tcW w:w="4032" w:type="dxa"/>
            <w:vAlign w:val="center"/>
          </w:tcPr>
          <w:p w14:paraId="2F2B9A07" w14:textId="77777777" w:rsidR="00A442ED" w:rsidRPr="00877D45" w:rsidRDefault="00A442ED" w:rsidP="00E644E7">
            <w:pPr>
              <w:spacing w:before="20" w:after="20"/>
              <w:jc w:val="center"/>
              <w:rPr>
                <w:rFonts w:cs="Times New Roman"/>
              </w:rPr>
            </w:pPr>
            <w:r w:rsidRPr="00877D45">
              <w:rPr>
                <w:rFonts w:cs="Times New Roman"/>
                <w:sz w:val="20"/>
              </w:rPr>
              <w:t>Main TWFE (+Income)</w:t>
            </w:r>
          </w:p>
        </w:tc>
        <w:tc>
          <w:tcPr>
            <w:tcW w:w="1440" w:type="dxa"/>
            <w:vAlign w:val="center"/>
          </w:tcPr>
          <w:p w14:paraId="36C0C055" w14:textId="77777777" w:rsidR="00A442ED" w:rsidRPr="00877D45" w:rsidRDefault="00A442ED" w:rsidP="00E644E7">
            <w:pPr>
              <w:spacing w:before="20" w:after="20"/>
              <w:jc w:val="center"/>
              <w:rPr>
                <w:rFonts w:cs="Times New Roman"/>
              </w:rPr>
            </w:pPr>
            <w:r w:rsidRPr="00877D45">
              <w:rPr>
                <w:rFonts w:cs="Times New Roman"/>
                <w:sz w:val="20"/>
              </w:rPr>
              <w:t>−1.234</w:t>
            </w:r>
          </w:p>
        </w:tc>
        <w:tc>
          <w:tcPr>
            <w:tcW w:w="1080" w:type="dxa"/>
            <w:vAlign w:val="center"/>
          </w:tcPr>
          <w:p w14:paraId="1B9F42CA" w14:textId="77777777" w:rsidR="00A442ED" w:rsidRPr="00877D45" w:rsidRDefault="00A442ED" w:rsidP="00E644E7">
            <w:pPr>
              <w:spacing w:before="20" w:after="20"/>
              <w:jc w:val="center"/>
              <w:rPr>
                <w:rFonts w:cs="Times New Roman"/>
              </w:rPr>
            </w:pPr>
            <w:r w:rsidRPr="00877D45">
              <w:rPr>
                <w:rFonts w:cs="Times New Roman"/>
                <w:sz w:val="20"/>
              </w:rPr>
              <w:t>0.336</w:t>
            </w:r>
          </w:p>
        </w:tc>
        <w:tc>
          <w:tcPr>
            <w:tcW w:w="1224" w:type="dxa"/>
            <w:vAlign w:val="center"/>
          </w:tcPr>
          <w:p w14:paraId="47D204EB" w14:textId="77777777" w:rsidR="00A442ED" w:rsidRPr="00877D45" w:rsidRDefault="00A442ED" w:rsidP="00E644E7">
            <w:pPr>
              <w:spacing w:before="20" w:after="20"/>
              <w:jc w:val="center"/>
              <w:rPr>
                <w:rFonts w:cs="Times New Roman"/>
              </w:rPr>
            </w:pPr>
            <w:r w:rsidRPr="00877D45">
              <w:rPr>
                <w:rFonts w:cs="Times New Roman"/>
                <w:sz w:val="20"/>
              </w:rPr>
              <w:t>0.0002</w:t>
            </w:r>
          </w:p>
        </w:tc>
        <w:tc>
          <w:tcPr>
            <w:tcW w:w="864" w:type="dxa"/>
            <w:vAlign w:val="center"/>
          </w:tcPr>
          <w:p w14:paraId="5F13746D" w14:textId="77777777" w:rsidR="00A442ED" w:rsidRPr="00877D45" w:rsidRDefault="00A442ED" w:rsidP="00E644E7">
            <w:pPr>
              <w:spacing w:before="20" w:after="20"/>
              <w:jc w:val="center"/>
              <w:rPr>
                <w:rFonts w:cs="Times New Roman"/>
              </w:rPr>
            </w:pPr>
            <w:r w:rsidRPr="00877D45">
              <w:rPr>
                <w:rFonts w:cs="Times New Roman"/>
                <w:sz w:val="20"/>
              </w:rPr>
              <w:t>***</w:t>
            </w:r>
          </w:p>
        </w:tc>
      </w:tr>
      <w:tr w:rsidR="00A442ED" w:rsidRPr="00877D45" w14:paraId="3A3408AC" w14:textId="77777777" w:rsidTr="00A442ED">
        <w:trPr>
          <w:jc w:val="center"/>
        </w:trPr>
        <w:tc>
          <w:tcPr>
            <w:tcW w:w="666" w:type="dxa"/>
            <w:vAlign w:val="center"/>
          </w:tcPr>
          <w:p w14:paraId="592E5AC3" w14:textId="77777777" w:rsidR="00A442ED" w:rsidRPr="00877D45" w:rsidRDefault="00A442ED" w:rsidP="00E644E7">
            <w:pPr>
              <w:spacing w:before="20" w:after="20"/>
              <w:rPr>
                <w:rFonts w:cs="Times New Roman"/>
              </w:rPr>
            </w:pPr>
            <w:r w:rsidRPr="00877D45">
              <w:rPr>
                <w:rFonts w:cs="Times New Roman"/>
                <w:sz w:val="20"/>
              </w:rPr>
              <w:t>R2</w:t>
            </w:r>
          </w:p>
        </w:tc>
        <w:tc>
          <w:tcPr>
            <w:tcW w:w="4032" w:type="dxa"/>
            <w:vAlign w:val="center"/>
          </w:tcPr>
          <w:p w14:paraId="625CD83C" w14:textId="77777777" w:rsidR="00A442ED" w:rsidRPr="00877D45" w:rsidRDefault="00A442ED" w:rsidP="00E644E7">
            <w:pPr>
              <w:spacing w:before="20" w:after="20"/>
              <w:jc w:val="center"/>
              <w:rPr>
                <w:rFonts w:cs="Times New Roman"/>
              </w:rPr>
            </w:pPr>
            <w:r w:rsidRPr="00877D45">
              <w:rPr>
                <w:rFonts w:cs="Times New Roman"/>
                <w:sz w:val="20"/>
              </w:rPr>
              <w:t>TWFE, no controls</w:t>
            </w:r>
          </w:p>
        </w:tc>
        <w:tc>
          <w:tcPr>
            <w:tcW w:w="1440" w:type="dxa"/>
            <w:vAlign w:val="center"/>
          </w:tcPr>
          <w:p w14:paraId="1EE05722" w14:textId="77777777" w:rsidR="00A442ED" w:rsidRPr="00877D45" w:rsidRDefault="00A442ED" w:rsidP="00E644E7">
            <w:pPr>
              <w:spacing w:before="20" w:after="20"/>
              <w:jc w:val="center"/>
              <w:rPr>
                <w:rFonts w:cs="Times New Roman"/>
              </w:rPr>
            </w:pPr>
            <w:r w:rsidRPr="00877D45">
              <w:rPr>
                <w:rFonts w:cs="Times New Roman"/>
                <w:sz w:val="20"/>
              </w:rPr>
              <w:t>−1.229</w:t>
            </w:r>
          </w:p>
        </w:tc>
        <w:tc>
          <w:tcPr>
            <w:tcW w:w="1080" w:type="dxa"/>
            <w:vAlign w:val="center"/>
          </w:tcPr>
          <w:p w14:paraId="1F7B64F5" w14:textId="77777777" w:rsidR="00A442ED" w:rsidRPr="00877D45" w:rsidRDefault="00A442ED" w:rsidP="00E644E7">
            <w:pPr>
              <w:spacing w:before="20" w:after="20"/>
              <w:jc w:val="center"/>
              <w:rPr>
                <w:rFonts w:cs="Times New Roman"/>
              </w:rPr>
            </w:pPr>
            <w:r w:rsidRPr="00877D45">
              <w:rPr>
                <w:rFonts w:cs="Times New Roman"/>
                <w:sz w:val="20"/>
              </w:rPr>
              <w:t>0.336</w:t>
            </w:r>
          </w:p>
        </w:tc>
        <w:tc>
          <w:tcPr>
            <w:tcW w:w="1224" w:type="dxa"/>
            <w:vAlign w:val="center"/>
          </w:tcPr>
          <w:p w14:paraId="5BDCC7EB" w14:textId="77777777" w:rsidR="00A442ED" w:rsidRPr="00877D45" w:rsidRDefault="00A442ED" w:rsidP="00E644E7">
            <w:pPr>
              <w:spacing w:before="20" w:after="20"/>
              <w:jc w:val="center"/>
              <w:rPr>
                <w:rFonts w:cs="Times New Roman"/>
              </w:rPr>
            </w:pPr>
            <w:r w:rsidRPr="00877D45">
              <w:rPr>
                <w:rFonts w:cs="Times New Roman"/>
                <w:sz w:val="20"/>
              </w:rPr>
              <w:t>0.0003</w:t>
            </w:r>
          </w:p>
        </w:tc>
        <w:tc>
          <w:tcPr>
            <w:tcW w:w="864" w:type="dxa"/>
            <w:vAlign w:val="center"/>
          </w:tcPr>
          <w:p w14:paraId="3FEE7610" w14:textId="77777777" w:rsidR="00A442ED" w:rsidRPr="00877D45" w:rsidRDefault="00A442ED" w:rsidP="00E644E7">
            <w:pPr>
              <w:spacing w:before="20" w:after="20"/>
              <w:jc w:val="center"/>
              <w:rPr>
                <w:rFonts w:cs="Times New Roman"/>
              </w:rPr>
            </w:pPr>
            <w:r w:rsidRPr="00877D45">
              <w:rPr>
                <w:rFonts w:cs="Times New Roman"/>
                <w:sz w:val="20"/>
              </w:rPr>
              <w:t>***</w:t>
            </w:r>
          </w:p>
        </w:tc>
      </w:tr>
      <w:tr w:rsidR="00A442ED" w:rsidRPr="00877D45" w14:paraId="3558DA02" w14:textId="77777777" w:rsidTr="00A442ED">
        <w:trPr>
          <w:jc w:val="center"/>
        </w:trPr>
        <w:tc>
          <w:tcPr>
            <w:tcW w:w="666" w:type="dxa"/>
            <w:vAlign w:val="center"/>
          </w:tcPr>
          <w:p w14:paraId="793D858C" w14:textId="77777777" w:rsidR="00A442ED" w:rsidRPr="00877D45" w:rsidRDefault="00A442ED" w:rsidP="00E644E7">
            <w:pPr>
              <w:spacing w:before="20" w:after="20"/>
              <w:rPr>
                <w:rFonts w:cs="Times New Roman"/>
              </w:rPr>
            </w:pPr>
            <w:r w:rsidRPr="00877D45">
              <w:rPr>
                <w:rFonts w:cs="Times New Roman"/>
                <w:sz w:val="20"/>
              </w:rPr>
              <w:t>R3</w:t>
            </w:r>
          </w:p>
        </w:tc>
        <w:tc>
          <w:tcPr>
            <w:tcW w:w="4032" w:type="dxa"/>
            <w:vAlign w:val="center"/>
          </w:tcPr>
          <w:p w14:paraId="48394E9C" w14:textId="77777777" w:rsidR="00A442ED" w:rsidRPr="00877D45" w:rsidRDefault="00A442ED" w:rsidP="00E644E7">
            <w:pPr>
              <w:spacing w:before="20" w:after="20"/>
              <w:jc w:val="center"/>
              <w:rPr>
                <w:rFonts w:cs="Times New Roman"/>
              </w:rPr>
            </w:pPr>
            <w:proofErr w:type="gramStart"/>
            <w:r w:rsidRPr="00877D45">
              <w:rPr>
                <w:rFonts w:cs="Times New Roman"/>
                <w:sz w:val="20"/>
              </w:rPr>
              <w:t>DH(</w:t>
            </w:r>
            <w:proofErr w:type="gramEnd"/>
            <w:r w:rsidRPr="00877D45">
              <w:rPr>
                <w:rFonts w:cs="Times New Roman"/>
                <w:sz w:val="20"/>
              </w:rPr>
              <w:t>2024) WAS + Income</w:t>
            </w:r>
          </w:p>
        </w:tc>
        <w:tc>
          <w:tcPr>
            <w:tcW w:w="1440" w:type="dxa"/>
            <w:vAlign w:val="center"/>
          </w:tcPr>
          <w:p w14:paraId="59898F29" w14:textId="77777777" w:rsidR="00A442ED" w:rsidRPr="00877D45" w:rsidRDefault="00A442ED" w:rsidP="00E644E7">
            <w:pPr>
              <w:spacing w:before="20" w:after="20"/>
              <w:jc w:val="center"/>
              <w:rPr>
                <w:rFonts w:cs="Times New Roman"/>
              </w:rPr>
            </w:pPr>
            <w:r w:rsidRPr="00877D45">
              <w:rPr>
                <w:rFonts w:cs="Times New Roman"/>
                <w:sz w:val="20"/>
              </w:rPr>
              <w:t>+1.201</w:t>
            </w:r>
          </w:p>
        </w:tc>
        <w:tc>
          <w:tcPr>
            <w:tcW w:w="1080" w:type="dxa"/>
            <w:vAlign w:val="center"/>
          </w:tcPr>
          <w:p w14:paraId="0D460598" w14:textId="77777777" w:rsidR="00A442ED" w:rsidRPr="00877D45" w:rsidRDefault="00A442ED" w:rsidP="00E644E7">
            <w:pPr>
              <w:spacing w:before="20" w:after="20"/>
              <w:jc w:val="center"/>
              <w:rPr>
                <w:rFonts w:cs="Times New Roman"/>
              </w:rPr>
            </w:pPr>
            <w:r w:rsidRPr="00877D45">
              <w:rPr>
                <w:rFonts w:cs="Times New Roman"/>
                <w:sz w:val="20"/>
              </w:rPr>
              <w:t>4.601</w:t>
            </w:r>
          </w:p>
        </w:tc>
        <w:tc>
          <w:tcPr>
            <w:tcW w:w="1224" w:type="dxa"/>
            <w:vAlign w:val="center"/>
          </w:tcPr>
          <w:p w14:paraId="525148B2" w14:textId="77777777" w:rsidR="00A442ED" w:rsidRPr="00877D45" w:rsidRDefault="00A442ED" w:rsidP="00E644E7">
            <w:pPr>
              <w:spacing w:before="20" w:after="20"/>
              <w:jc w:val="center"/>
              <w:rPr>
                <w:rFonts w:cs="Times New Roman"/>
              </w:rPr>
            </w:pPr>
            <w:r w:rsidRPr="00877D45">
              <w:rPr>
                <w:rFonts w:cs="Times New Roman"/>
                <w:sz w:val="20"/>
              </w:rPr>
              <w:t>0.788</w:t>
            </w:r>
          </w:p>
        </w:tc>
        <w:tc>
          <w:tcPr>
            <w:tcW w:w="864" w:type="dxa"/>
            <w:vAlign w:val="center"/>
          </w:tcPr>
          <w:p w14:paraId="135EC283" w14:textId="77777777" w:rsidR="00A442ED" w:rsidRPr="00877D45" w:rsidRDefault="00A442ED" w:rsidP="00E644E7">
            <w:pPr>
              <w:spacing w:before="20" w:after="20"/>
              <w:jc w:val="center"/>
              <w:rPr>
                <w:rFonts w:cs="Times New Roman"/>
              </w:rPr>
            </w:pPr>
          </w:p>
        </w:tc>
      </w:tr>
      <w:tr w:rsidR="00A442ED" w:rsidRPr="00877D45" w14:paraId="675F7294" w14:textId="77777777" w:rsidTr="00A442ED">
        <w:trPr>
          <w:jc w:val="center"/>
        </w:trPr>
        <w:tc>
          <w:tcPr>
            <w:tcW w:w="666" w:type="dxa"/>
            <w:vAlign w:val="center"/>
          </w:tcPr>
          <w:p w14:paraId="2CB03DF8" w14:textId="77777777" w:rsidR="00A442ED" w:rsidRPr="00877D45" w:rsidRDefault="00A442ED" w:rsidP="00E644E7">
            <w:pPr>
              <w:spacing w:before="20" w:after="20"/>
              <w:rPr>
                <w:rFonts w:cs="Times New Roman"/>
              </w:rPr>
            </w:pPr>
            <w:r w:rsidRPr="00877D45">
              <w:rPr>
                <w:rFonts w:cs="Times New Roman"/>
                <w:sz w:val="20"/>
              </w:rPr>
              <w:t>R4</w:t>
            </w:r>
          </w:p>
        </w:tc>
        <w:tc>
          <w:tcPr>
            <w:tcW w:w="4032" w:type="dxa"/>
            <w:vAlign w:val="center"/>
          </w:tcPr>
          <w:p w14:paraId="00461243" w14:textId="77777777" w:rsidR="00A442ED" w:rsidRPr="00877D45" w:rsidRDefault="00A442ED" w:rsidP="00E644E7">
            <w:pPr>
              <w:spacing w:before="20" w:after="20"/>
              <w:jc w:val="center"/>
              <w:rPr>
                <w:rFonts w:cs="Times New Roman"/>
              </w:rPr>
            </w:pPr>
            <w:r w:rsidRPr="00877D45">
              <w:rPr>
                <w:rFonts w:cs="Times New Roman"/>
                <w:sz w:val="20"/>
              </w:rPr>
              <w:t>Pre-determined WFH₂₀₁₉ × Post</w:t>
            </w:r>
          </w:p>
        </w:tc>
        <w:tc>
          <w:tcPr>
            <w:tcW w:w="1440" w:type="dxa"/>
            <w:vAlign w:val="center"/>
          </w:tcPr>
          <w:p w14:paraId="1B374C8A" w14:textId="77777777" w:rsidR="00A442ED" w:rsidRPr="00877D45" w:rsidRDefault="00A442ED" w:rsidP="00E644E7">
            <w:pPr>
              <w:spacing w:before="20" w:after="20"/>
              <w:jc w:val="center"/>
              <w:rPr>
                <w:rFonts w:cs="Times New Roman"/>
              </w:rPr>
            </w:pPr>
            <w:r w:rsidRPr="00877D45">
              <w:rPr>
                <w:rFonts w:cs="Times New Roman"/>
                <w:sz w:val="20"/>
              </w:rPr>
              <w:t>−1.450</w:t>
            </w:r>
          </w:p>
        </w:tc>
        <w:tc>
          <w:tcPr>
            <w:tcW w:w="1080" w:type="dxa"/>
            <w:vAlign w:val="center"/>
          </w:tcPr>
          <w:p w14:paraId="33800674" w14:textId="77777777" w:rsidR="00A442ED" w:rsidRPr="00877D45" w:rsidRDefault="00A442ED" w:rsidP="00E644E7">
            <w:pPr>
              <w:spacing w:before="20" w:after="20"/>
              <w:jc w:val="center"/>
              <w:rPr>
                <w:rFonts w:cs="Times New Roman"/>
              </w:rPr>
            </w:pPr>
            <w:r w:rsidRPr="00877D45">
              <w:rPr>
                <w:rFonts w:cs="Times New Roman"/>
                <w:sz w:val="20"/>
              </w:rPr>
              <w:t>0.459</w:t>
            </w:r>
          </w:p>
        </w:tc>
        <w:tc>
          <w:tcPr>
            <w:tcW w:w="1224" w:type="dxa"/>
            <w:vAlign w:val="center"/>
          </w:tcPr>
          <w:p w14:paraId="51845A78" w14:textId="77777777" w:rsidR="00A442ED" w:rsidRPr="00877D45" w:rsidRDefault="00A442ED" w:rsidP="00E644E7">
            <w:pPr>
              <w:spacing w:before="20" w:after="20"/>
              <w:jc w:val="center"/>
              <w:rPr>
                <w:rFonts w:cs="Times New Roman"/>
              </w:rPr>
            </w:pPr>
            <w:r w:rsidRPr="00877D45">
              <w:rPr>
                <w:rFonts w:cs="Times New Roman"/>
                <w:sz w:val="20"/>
              </w:rPr>
              <w:t>0.0016</w:t>
            </w:r>
          </w:p>
        </w:tc>
        <w:tc>
          <w:tcPr>
            <w:tcW w:w="864" w:type="dxa"/>
            <w:vAlign w:val="center"/>
          </w:tcPr>
          <w:p w14:paraId="5D8F8EA0" w14:textId="77777777" w:rsidR="00A442ED" w:rsidRPr="00877D45" w:rsidRDefault="00A442ED" w:rsidP="00E644E7">
            <w:pPr>
              <w:spacing w:before="20" w:after="20"/>
              <w:jc w:val="center"/>
              <w:rPr>
                <w:rFonts w:cs="Times New Roman"/>
              </w:rPr>
            </w:pPr>
            <w:r w:rsidRPr="00877D45">
              <w:rPr>
                <w:rFonts w:cs="Times New Roman"/>
                <w:sz w:val="20"/>
              </w:rPr>
              <w:t>**</w:t>
            </w:r>
          </w:p>
        </w:tc>
      </w:tr>
      <w:tr w:rsidR="00A442ED" w:rsidRPr="00877D45" w14:paraId="0901C5D4" w14:textId="77777777" w:rsidTr="00A442ED">
        <w:trPr>
          <w:jc w:val="center"/>
        </w:trPr>
        <w:tc>
          <w:tcPr>
            <w:tcW w:w="666" w:type="dxa"/>
            <w:vAlign w:val="center"/>
          </w:tcPr>
          <w:p w14:paraId="53BB8B87" w14:textId="77777777" w:rsidR="00A442ED" w:rsidRPr="00877D45" w:rsidRDefault="00A442ED" w:rsidP="00E644E7">
            <w:pPr>
              <w:spacing w:before="20" w:after="20"/>
              <w:rPr>
                <w:rFonts w:cs="Times New Roman"/>
              </w:rPr>
            </w:pPr>
            <w:r w:rsidRPr="00877D45">
              <w:rPr>
                <w:rFonts w:cs="Times New Roman"/>
                <w:sz w:val="20"/>
              </w:rPr>
              <w:t>R5</w:t>
            </w:r>
          </w:p>
        </w:tc>
        <w:tc>
          <w:tcPr>
            <w:tcW w:w="4032" w:type="dxa"/>
            <w:vAlign w:val="center"/>
          </w:tcPr>
          <w:p w14:paraId="5CE4AC3B" w14:textId="77777777" w:rsidR="00A442ED" w:rsidRPr="00877D45" w:rsidRDefault="00A442ED" w:rsidP="00E644E7">
            <w:pPr>
              <w:spacing w:before="20" w:after="20"/>
              <w:jc w:val="center"/>
              <w:rPr>
                <w:rFonts w:cs="Times New Roman"/>
              </w:rPr>
            </w:pPr>
            <w:r w:rsidRPr="00877D45">
              <w:rPr>
                <w:rFonts w:cs="Times New Roman"/>
                <w:sz w:val="20"/>
              </w:rPr>
              <w:t>Frisch–Waugh detrending</w:t>
            </w:r>
          </w:p>
        </w:tc>
        <w:tc>
          <w:tcPr>
            <w:tcW w:w="1440" w:type="dxa"/>
            <w:vAlign w:val="center"/>
          </w:tcPr>
          <w:p w14:paraId="4BB04CBE" w14:textId="77777777" w:rsidR="00A442ED" w:rsidRPr="00877D45" w:rsidRDefault="00A442ED" w:rsidP="00E644E7">
            <w:pPr>
              <w:spacing w:before="20" w:after="20"/>
              <w:jc w:val="center"/>
              <w:rPr>
                <w:rFonts w:cs="Times New Roman"/>
              </w:rPr>
            </w:pPr>
            <w:r w:rsidRPr="00877D45">
              <w:rPr>
                <w:rFonts w:cs="Times New Roman"/>
                <w:sz w:val="20"/>
              </w:rPr>
              <w:t>−0.845</w:t>
            </w:r>
          </w:p>
        </w:tc>
        <w:tc>
          <w:tcPr>
            <w:tcW w:w="1080" w:type="dxa"/>
            <w:vAlign w:val="center"/>
          </w:tcPr>
          <w:p w14:paraId="457CF1C9" w14:textId="77777777" w:rsidR="00A442ED" w:rsidRPr="00877D45" w:rsidRDefault="00A442ED" w:rsidP="00E644E7">
            <w:pPr>
              <w:spacing w:before="20" w:after="20"/>
              <w:jc w:val="center"/>
              <w:rPr>
                <w:rFonts w:cs="Times New Roman"/>
              </w:rPr>
            </w:pPr>
            <w:r w:rsidRPr="00877D45">
              <w:rPr>
                <w:rFonts w:cs="Times New Roman"/>
                <w:sz w:val="20"/>
              </w:rPr>
              <w:t>0.417</w:t>
            </w:r>
          </w:p>
        </w:tc>
        <w:tc>
          <w:tcPr>
            <w:tcW w:w="1224" w:type="dxa"/>
            <w:vAlign w:val="center"/>
          </w:tcPr>
          <w:p w14:paraId="655480E9" w14:textId="77777777" w:rsidR="00A442ED" w:rsidRPr="00877D45" w:rsidRDefault="00A442ED" w:rsidP="00E644E7">
            <w:pPr>
              <w:spacing w:before="20" w:after="20"/>
              <w:jc w:val="center"/>
              <w:rPr>
                <w:rFonts w:cs="Times New Roman"/>
              </w:rPr>
            </w:pPr>
            <w:r w:rsidRPr="00877D45">
              <w:rPr>
                <w:rFonts w:cs="Times New Roman"/>
                <w:sz w:val="20"/>
              </w:rPr>
              <w:t>0.043</w:t>
            </w:r>
          </w:p>
        </w:tc>
        <w:tc>
          <w:tcPr>
            <w:tcW w:w="864" w:type="dxa"/>
            <w:vAlign w:val="center"/>
          </w:tcPr>
          <w:p w14:paraId="75E26320" w14:textId="77777777" w:rsidR="00A442ED" w:rsidRPr="00877D45" w:rsidRDefault="00A442ED" w:rsidP="00E644E7">
            <w:pPr>
              <w:spacing w:before="20" w:after="20"/>
              <w:jc w:val="center"/>
              <w:rPr>
                <w:rFonts w:cs="Times New Roman"/>
              </w:rPr>
            </w:pPr>
            <w:r w:rsidRPr="00877D45">
              <w:rPr>
                <w:rFonts w:cs="Times New Roman"/>
                <w:sz w:val="20"/>
              </w:rPr>
              <w:t>*</w:t>
            </w:r>
          </w:p>
        </w:tc>
      </w:tr>
      <w:tr w:rsidR="00A442ED" w:rsidRPr="00877D45" w14:paraId="3908AA14" w14:textId="77777777" w:rsidTr="00A442ED">
        <w:trPr>
          <w:jc w:val="center"/>
        </w:trPr>
        <w:tc>
          <w:tcPr>
            <w:tcW w:w="666" w:type="dxa"/>
            <w:vAlign w:val="center"/>
          </w:tcPr>
          <w:p w14:paraId="240F0B97" w14:textId="77777777" w:rsidR="00A442ED" w:rsidRPr="00877D45" w:rsidRDefault="00A442ED" w:rsidP="00E644E7">
            <w:pPr>
              <w:spacing w:before="20" w:after="20"/>
              <w:rPr>
                <w:rFonts w:cs="Times New Roman"/>
              </w:rPr>
            </w:pPr>
            <w:r w:rsidRPr="00877D45">
              <w:rPr>
                <w:rFonts w:cs="Times New Roman"/>
                <w:sz w:val="20"/>
              </w:rPr>
              <w:t>R6</w:t>
            </w:r>
          </w:p>
        </w:tc>
        <w:tc>
          <w:tcPr>
            <w:tcW w:w="4032" w:type="dxa"/>
            <w:vAlign w:val="center"/>
          </w:tcPr>
          <w:p w14:paraId="703C74D2" w14:textId="77777777" w:rsidR="00A442ED" w:rsidRPr="00877D45" w:rsidRDefault="00A442ED" w:rsidP="00E644E7">
            <w:pPr>
              <w:spacing w:before="20" w:after="20"/>
              <w:jc w:val="center"/>
              <w:rPr>
                <w:rFonts w:cs="Times New Roman"/>
              </w:rPr>
            </w:pPr>
            <w:r w:rsidRPr="00877D45">
              <w:rPr>
                <w:rFonts w:cs="Times New Roman"/>
                <w:sz w:val="20"/>
              </w:rPr>
              <w:t>Metro-Core + Metro-Fringe (37 counties)</w:t>
            </w:r>
          </w:p>
        </w:tc>
        <w:tc>
          <w:tcPr>
            <w:tcW w:w="1440" w:type="dxa"/>
            <w:vAlign w:val="center"/>
          </w:tcPr>
          <w:p w14:paraId="5A5A9BBE" w14:textId="77777777" w:rsidR="00A442ED" w:rsidRPr="00877D45" w:rsidRDefault="00A442ED" w:rsidP="00E644E7">
            <w:pPr>
              <w:spacing w:before="20" w:after="20"/>
              <w:jc w:val="center"/>
              <w:rPr>
                <w:rFonts w:cs="Times New Roman"/>
              </w:rPr>
            </w:pPr>
            <w:r w:rsidRPr="00877D45">
              <w:rPr>
                <w:rFonts w:cs="Times New Roman"/>
                <w:sz w:val="20"/>
              </w:rPr>
              <w:t>−1.212</w:t>
            </w:r>
          </w:p>
        </w:tc>
        <w:tc>
          <w:tcPr>
            <w:tcW w:w="1080" w:type="dxa"/>
            <w:vAlign w:val="center"/>
          </w:tcPr>
          <w:p w14:paraId="6115A0D0" w14:textId="77777777" w:rsidR="00A442ED" w:rsidRPr="00877D45" w:rsidRDefault="00A442ED" w:rsidP="00E644E7">
            <w:pPr>
              <w:spacing w:before="20" w:after="20"/>
              <w:jc w:val="center"/>
              <w:rPr>
                <w:rFonts w:cs="Times New Roman"/>
              </w:rPr>
            </w:pPr>
            <w:r w:rsidRPr="00877D45">
              <w:rPr>
                <w:rFonts w:cs="Times New Roman"/>
                <w:sz w:val="20"/>
              </w:rPr>
              <w:t>0.321</w:t>
            </w:r>
          </w:p>
        </w:tc>
        <w:tc>
          <w:tcPr>
            <w:tcW w:w="1224" w:type="dxa"/>
            <w:vAlign w:val="center"/>
          </w:tcPr>
          <w:p w14:paraId="15C72EC5" w14:textId="77777777" w:rsidR="00A442ED" w:rsidRPr="00877D45" w:rsidRDefault="00A442ED" w:rsidP="00E644E7">
            <w:pPr>
              <w:spacing w:before="20" w:after="20"/>
              <w:jc w:val="center"/>
              <w:rPr>
                <w:rFonts w:cs="Times New Roman"/>
              </w:rPr>
            </w:pPr>
            <w:r w:rsidRPr="00877D45">
              <w:rPr>
                <w:rFonts w:cs="Times New Roman"/>
                <w:sz w:val="20"/>
              </w:rPr>
              <w:t>0.0002</w:t>
            </w:r>
          </w:p>
        </w:tc>
        <w:tc>
          <w:tcPr>
            <w:tcW w:w="864" w:type="dxa"/>
            <w:vAlign w:val="center"/>
          </w:tcPr>
          <w:p w14:paraId="155A01ED" w14:textId="77777777" w:rsidR="00A442ED" w:rsidRPr="00877D45" w:rsidRDefault="00A442ED" w:rsidP="00E644E7">
            <w:pPr>
              <w:spacing w:before="20" w:after="20"/>
              <w:jc w:val="center"/>
              <w:rPr>
                <w:rFonts w:cs="Times New Roman"/>
              </w:rPr>
            </w:pPr>
            <w:r w:rsidRPr="00877D45">
              <w:rPr>
                <w:rFonts w:cs="Times New Roman"/>
                <w:sz w:val="20"/>
              </w:rPr>
              <w:t>***</w:t>
            </w:r>
          </w:p>
        </w:tc>
      </w:tr>
    </w:tbl>
    <w:p w14:paraId="29EC5296" w14:textId="07B14835" w:rsidR="00A442ED" w:rsidRPr="00877D45" w:rsidRDefault="00A442ED" w:rsidP="00A442ED">
      <w:pPr>
        <w:spacing w:before="200" w:after="80" w:line="440" w:lineRule="exact"/>
        <w:ind w:left="1440" w:firstLine="720"/>
        <w:rPr>
          <w:rFonts w:cs="Times New Roman"/>
        </w:rPr>
      </w:pPr>
      <w:r w:rsidRPr="00877D45">
        <w:rPr>
          <w:rFonts w:cs="Times New Roman"/>
          <w:b/>
        </w:rPr>
        <w:t>Table 5: Robustness Checks — Metro-Core Counties</w:t>
      </w:r>
    </w:p>
    <w:p w14:paraId="332B2EA0" w14:textId="0DEBCB8B" w:rsidR="00A442ED" w:rsidRPr="00877D45" w:rsidRDefault="00A442ED" w:rsidP="00A442ED">
      <w:pPr>
        <w:spacing w:before="40" w:line="260" w:lineRule="exact"/>
        <w:rPr>
          <w:rFonts w:cs="Times New Roman"/>
        </w:rPr>
      </w:pPr>
      <w:r w:rsidRPr="00877D45">
        <w:rPr>
          <w:rFonts w:cs="Times New Roman"/>
          <w:b/>
          <w:sz w:val="19"/>
        </w:rPr>
        <w:t xml:space="preserve">Note. </w:t>
      </w:r>
      <w:r w:rsidRPr="00877D45">
        <w:rPr>
          <w:rFonts w:cs="Times New Roman"/>
          <w:sz w:val="19"/>
        </w:rPr>
        <w:t>R3 is the de </w:t>
      </w:r>
      <w:proofErr w:type="spellStart"/>
      <w:r w:rsidRPr="00877D45">
        <w:rPr>
          <w:rFonts w:cs="Times New Roman"/>
          <w:sz w:val="19"/>
        </w:rPr>
        <w:t>Chaisemartin</w:t>
      </w:r>
      <w:proofErr w:type="spellEnd"/>
      <w:r w:rsidRPr="00877D45">
        <w:rPr>
          <w:rFonts w:cs="Times New Roman"/>
          <w:sz w:val="19"/>
        </w:rPr>
        <w:t>–</w:t>
      </w:r>
      <w:proofErr w:type="spellStart"/>
      <w:r w:rsidRPr="00877D45">
        <w:rPr>
          <w:rFonts w:cs="Times New Roman"/>
          <w:sz w:val="19"/>
        </w:rPr>
        <w:t>D’Haultfœuille</w:t>
      </w:r>
      <w:proofErr w:type="spellEnd"/>
      <w:r w:rsidRPr="00877D45">
        <w:rPr>
          <w:rFonts w:cs="Times New Roman"/>
          <w:sz w:val="19"/>
        </w:rPr>
        <w:t xml:space="preserve"> (2024) weighted average slope estimator applied to first-differenced data; large SE reflects the limited ‘switcher’ county sample. R4 uses WFH₂₀₁₉ × 1[year ≥ 2020] as the treatment variable. R5 partials out county-specific linear time trends. *** p&lt;.001, ** p&lt;.01, * p&lt;.05.</w:t>
      </w:r>
    </w:p>
    <w:p w14:paraId="7EE6B45D" w14:textId="77777777" w:rsidR="00A442ED" w:rsidRPr="00877D45" w:rsidRDefault="00A442ED" w:rsidP="00A442ED">
      <w:pPr>
        <w:spacing w:after="120" w:line="440" w:lineRule="exact"/>
        <w:ind w:left="360" w:firstLine="360"/>
        <w:jc w:val="both"/>
        <w:rPr>
          <w:rFonts w:cs="Times New Roman"/>
        </w:rPr>
      </w:pPr>
    </w:p>
    <w:p w14:paraId="2A3FDB61" w14:textId="5D2C68B7" w:rsidR="00702814" w:rsidRPr="00877D45" w:rsidRDefault="00FF6B01" w:rsidP="00A442ED">
      <w:pPr>
        <w:spacing w:after="0" w:line="480" w:lineRule="auto"/>
        <w:ind w:firstLine="720"/>
        <w:rPr>
          <w:rFonts w:cs="Times New Roman"/>
        </w:rPr>
      </w:pPr>
      <w:r w:rsidRPr="00877D45">
        <w:rPr>
          <w:rFonts w:cs="Times New Roman"/>
          <w:b/>
        </w:rPr>
        <w:t>5.1 Pre-determined Exposure (Reverse Causality)</w:t>
      </w:r>
    </w:p>
    <w:p w14:paraId="6ECFDDFE" w14:textId="4C00086D" w:rsidR="00702814" w:rsidRPr="00877D45" w:rsidRDefault="00000000">
      <w:pPr>
        <w:spacing w:after="0" w:line="480" w:lineRule="auto"/>
        <w:ind w:firstLine="720"/>
        <w:rPr>
          <w:rFonts w:cs="Times New Roman"/>
        </w:rPr>
      </w:pPr>
      <w:r w:rsidRPr="00877D45">
        <w:rPr>
          <w:rFonts w:cs="Times New Roman"/>
        </w:rPr>
        <w:t xml:space="preserve">The main TWFE specification raises concern about reverse causality. Housing price shock from 2020 to 2023 may have influenced to WFH adoption rather than reverse. To address </w:t>
      </w:r>
      <w:r w:rsidRPr="00877D45">
        <w:rPr>
          <w:rFonts w:cs="Times New Roman"/>
        </w:rPr>
        <w:lastRenderedPageBreak/>
        <w:t xml:space="preserve">this, I re-estimate the specification using a pre-determined </w:t>
      </w:r>
      <w:proofErr w:type="gramStart"/>
      <w:r w:rsidRPr="00877D45">
        <w:rPr>
          <w:rFonts w:cs="Times New Roman"/>
        </w:rPr>
        <w:t>proxy :</w:t>
      </w:r>
      <w:proofErr w:type="gramEnd"/>
      <w:r w:rsidRPr="00877D45">
        <w:rPr>
          <w:rFonts w:cs="Times New Roman"/>
        </w:rPr>
        <w:t xml:space="preserve"> each county's 2019 WFH rate interacted with a post-2020 indicator</w:t>
      </w:r>
      <w:r w:rsidR="00A442ED" w:rsidRPr="00877D45">
        <w:rPr>
          <w:rFonts w:cs="Times New Roman"/>
        </w:rPr>
        <w:t xml:space="preserve"> (R4)</w:t>
      </w:r>
      <w:r w:rsidRPr="00877D45">
        <w:rPr>
          <w:rFonts w:cs="Times New Roman"/>
        </w:rPr>
        <w:t>. This instrument captures permanent, pre-pandemic industry composition and is impervious to contemporaneous reverse causality.</w:t>
      </w:r>
    </w:p>
    <w:p w14:paraId="77FA5F63" w14:textId="38118033" w:rsidR="00702814" w:rsidRPr="00877D45" w:rsidRDefault="00000000" w:rsidP="00B03DAD">
      <w:pPr>
        <w:spacing w:after="0" w:line="480" w:lineRule="auto"/>
        <w:ind w:firstLine="720"/>
        <w:rPr>
          <w:rFonts w:cs="Times New Roman"/>
        </w:rPr>
      </w:pPr>
      <w:proofErr w:type="gramStart"/>
      <w:r w:rsidRPr="00877D45">
        <w:rPr>
          <w:rFonts w:cs="Times New Roman"/>
        </w:rPr>
        <w:t>The Table</w:t>
      </w:r>
      <w:proofErr w:type="gramEnd"/>
      <w:r w:rsidRPr="00877D45">
        <w:rPr>
          <w:rFonts w:cs="Times New Roman"/>
        </w:rPr>
        <w:t xml:space="preserve"> 5 show</w:t>
      </w:r>
      <w:r w:rsidR="00032813" w:rsidRPr="00877D45">
        <w:rPr>
          <w:rFonts w:cs="Times New Roman"/>
        </w:rPr>
        <w:t>s</w:t>
      </w:r>
      <w:r w:rsidRPr="00877D45">
        <w:rPr>
          <w:rFonts w:cs="Times New Roman"/>
        </w:rPr>
        <w:t xml:space="preserve"> that coefficient is -1.</w:t>
      </w:r>
      <w:r w:rsidR="00A442ED" w:rsidRPr="00877D45">
        <w:rPr>
          <w:rFonts w:cs="Times New Roman"/>
        </w:rPr>
        <w:t>45</w:t>
      </w:r>
      <w:r w:rsidRPr="00877D45">
        <w:rPr>
          <w:rFonts w:cs="Times New Roman"/>
        </w:rPr>
        <w:t>% and statistically indistinguishable from the baseline -1.2</w:t>
      </w:r>
      <w:r w:rsidR="00A442ED" w:rsidRPr="00877D45">
        <w:rPr>
          <w:rFonts w:cs="Times New Roman"/>
        </w:rPr>
        <w:t>34</w:t>
      </w:r>
      <w:r w:rsidRPr="00877D45">
        <w:rPr>
          <w:rFonts w:cs="Times New Roman"/>
        </w:rPr>
        <w:t>%. Reverse causality from contemporaneous prices to WFH is not driving the headline result.</w:t>
      </w:r>
    </w:p>
    <w:p w14:paraId="4E6565D6" w14:textId="2714E3A1" w:rsidR="00702814" w:rsidRPr="00877D45" w:rsidRDefault="00FF6B01" w:rsidP="00A442ED">
      <w:pPr>
        <w:spacing w:after="0" w:line="480" w:lineRule="auto"/>
        <w:ind w:firstLine="720"/>
        <w:rPr>
          <w:rFonts w:cs="Times New Roman"/>
        </w:rPr>
      </w:pPr>
      <w:r w:rsidRPr="00877D45">
        <w:rPr>
          <w:rFonts w:cs="Times New Roman"/>
          <w:b/>
        </w:rPr>
        <w:t>5.2 County-specific Trend Detrending</w:t>
      </w:r>
    </w:p>
    <w:p w14:paraId="385FCD06" w14:textId="0A74D647" w:rsidR="0094252E" w:rsidRPr="00877D45" w:rsidRDefault="00000000" w:rsidP="00A442ED">
      <w:pPr>
        <w:spacing w:after="0" w:line="480" w:lineRule="auto"/>
        <w:ind w:firstLine="720"/>
        <w:rPr>
          <w:rFonts w:cs="Times New Roman"/>
        </w:rPr>
      </w:pPr>
      <w:r w:rsidRPr="00877D45">
        <w:rPr>
          <w:rFonts w:cs="Times New Roman"/>
        </w:rPr>
        <w:t xml:space="preserve"> The main model assumes that housing prices in different counties follow similar trends over time after controlling for fixed effects. To test this more strictly, I remove county-specific time trends using a detrending method before running the regression. This helps remove long-term differences across counties, such as steady growth in tech areas that may be related to WFH.</w:t>
      </w:r>
      <w:r w:rsidR="009008CB" w:rsidRPr="00877D45">
        <w:rPr>
          <w:rFonts w:cs="Times New Roman"/>
        </w:rPr>
        <w:t xml:space="preserve"> </w:t>
      </w:r>
      <w:r w:rsidRPr="00877D45">
        <w:rPr>
          <w:rFonts w:cs="Times New Roman"/>
        </w:rPr>
        <w:t xml:space="preserve">After removing these trends, </w:t>
      </w:r>
      <w:r w:rsidR="00A442ED" w:rsidRPr="00877D45">
        <w:rPr>
          <w:rFonts w:cs="Times New Roman"/>
        </w:rPr>
        <w:t>R5</w:t>
      </w:r>
      <w:r w:rsidR="009008CB" w:rsidRPr="00877D45">
        <w:rPr>
          <w:rFonts w:cs="Times New Roman"/>
        </w:rPr>
        <w:t xml:space="preserve"> shows </w:t>
      </w:r>
      <w:r w:rsidRPr="00877D45">
        <w:rPr>
          <w:rFonts w:cs="Times New Roman"/>
        </w:rPr>
        <w:t>the estimated effect</w:t>
      </w:r>
      <w:r w:rsidR="00F24C43" w:rsidRPr="00877D45">
        <w:rPr>
          <w:rFonts w:cs="Times New Roman"/>
        </w:rPr>
        <w:t xml:space="preserve"> is </w:t>
      </w:r>
      <w:r w:rsidRPr="00877D45">
        <w:rPr>
          <w:rFonts w:cs="Times New Roman"/>
        </w:rPr>
        <w:t>−0.</w:t>
      </w:r>
      <w:r w:rsidR="00A442ED" w:rsidRPr="00877D45">
        <w:rPr>
          <w:rFonts w:cs="Times New Roman"/>
        </w:rPr>
        <w:t>845</w:t>
      </w:r>
      <w:r w:rsidRPr="00877D45">
        <w:rPr>
          <w:rFonts w:cs="Times New Roman"/>
        </w:rPr>
        <w:t>%</w:t>
      </w:r>
      <w:r w:rsidR="00F24C43" w:rsidRPr="00877D45">
        <w:rPr>
          <w:rFonts w:cs="Times New Roman"/>
        </w:rPr>
        <w:t xml:space="preserve"> </w:t>
      </w:r>
      <w:r w:rsidRPr="00877D45">
        <w:rPr>
          <w:rFonts w:cs="Times New Roman"/>
        </w:rPr>
        <w:t>and is statistically significant</w:t>
      </w:r>
      <w:r w:rsidR="00A442ED" w:rsidRPr="00877D45">
        <w:rPr>
          <w:rFonts w:cs="Times New Roman"/>
        </w:rPr>
        <w:t xml:space="preserve"> at 5%</w:t>
      </w:r>
      <w:r w:rsidRPr="00877D45">
        <w:rPr>
          <w:rFonts w:cs="Times New Roman"/>
        </w:rPr>
        <w:t>.</w:t>
      </w:r>
      <w:r w:rsidR="00A442ED" w:rsidRPr="00877D45">
        <w:rPr>
          <w:rFonts w:cs="Times New Roman"/>
        </w:rPr>
        <w:t xml:space="preserve"> This </w:t>
      </w:r>
      <w:proofErr w:type="gramStart"/>
      <w:r w:rsidR="00A442ED" w:rsidRPr="00877D45">
        <w:rPr>
          <w:rFonts w:cs="Times New Roman"/>
        </w:rPr>
        <w:t>robustness</w:t>
      </w:r>
      <w:proofErr w:type="gramEnd"/>
      <w:r w:rsidR="00A442ED" w:rsidRPr="00877D45">
        <w:rPr>
          <w:rFonts w:cs="Times New Roman"/>
        </w:rPr>
        <w:t xml:space="preserve"> method confirms that the result is not driven by pre-existing county trends.</w:t>
      </w:r>
    </w:p>
    <w:p w14:paraId="21DEE340" w14:textId="05497780" w:rsidR="00702814" w:rsidRPr="00877D45" w:rsidRDefault="00FF6B01" w:rsidP="00FF6B01">
      <w:pPr>
        <w:spacing w:after="0" w:line="480" w:lineRule="auto"/>
        <w:ind w:firstLine="720"/>
        <w:rPr>
          <w:rFonts w:cs="Times New Roman"/>
        </w:rPr>
      </w:pPr>
      <w:r w:rsidRPr="00877D45">
        <w:rPr>
          <w:rFonts w:cs="Times New Roman"/>
          <w:b/>
        </w:rPr>
        <w:t>5.3 Heterogeneity-Robust Estimator: DH (2024) WAS</w:t>
      </w:r>
    </w:p>
    <w:p w14:paraId="1244D826" w14:textId="646BD82A" w:rsidR="00702814" w:rsidRPr="00877D45" w:rsidRDefault="00000000" w:rsidP="00A4732F">
      <w:pPr>
        <w:spacing w:after="0" w:line="480" w:lineRule="auto"/>
        <w:ind w:firstLine="720"/>
        <w:rPr>
          <w:rFonts w:cs="Times New Roman"/>
        </w:rPr>
      </w:pPr>
      <w:r w:rsidRPr="00877D45">
        <w:rPr>
          <w:rFonts w:cs="Times New Roman"/>
        </w:rPr>
        <w:t>To complement the TWFE baseline, this paper applies the Weighted Average Slope (WAS) estimator proposed by Clément de Chaisemartin and Xavier D’Haultfœuille (2024). This method is designed for panel data with a continuous treatment and avoids the negative-weight problem that can arise in TWFE when treatment effects differ across units or over time. The estimator divides counties into two groups: “stayers,” defined as counties with small changes in WFH, and “switchers,” defined as those with larger changes. For each switcher, the effect is calculated by comparing the observed change in housing prices to a counterfactual prediction based on the stayers.</w:t>
      </w:r>
      <w:r w:rsidR="00A442ED" w:rsidRPr="00877D45">
        <w:rPr>
          <w:rFonts w:cs="Times New Roman"/>
        </w:rPr>
        <w:t xml:space="preserve"> The WAS estimate in R3 is +1.</w:t>
      </w:r>
      <w:r w:rsidR="00CA7AF6">
        <w:rPr>
          <w:rFonts w:cs="Times New Roman"/>
        </w:rPr>
        <w:t>201</w:t>
      </w:r>
      <w:r w:rsidR="00A442ED" w:rsidRPr="00877D45">
        <w:rPr>
          <w:rFonts w:cs="Times New Roman"/>
        </w:rPr>
        <w:t>% (SE = 4.831%, p = 0.787</w:t>
      </w:r>
      <w:r w:rsidR="00CA7AF6">
        <w:rPr>
          <w:rFonts w:cs="Times New Roman"/>
        </w:rPr>
        <w:t xml:space="preserve"> and</w:t>
      </w:r>
      <w:r w:rsidR="00A442ED" w:rsidRPr="00877D45">
        <w:rPr>
          <w:rFonts w:cs="Times New Roman"/>
        </w:rPr>
        <w:t xml:space="preserve"> </w:t>
      </w:r>
      <w:r w:rsidR="00A442ED" w:rsidRPr="00877D45">
        <w:rPr>
          <w:rFonts w:cs="Times New Roman"/>
        </w:rPr>
        <w:lastRenderedPageBreak/>
        <w:t>statistically indistinguishable from zero. The contrast between the TWFE’s −1.234% and the WAS’s insignificant positive point estimate suggests that heterogeneous treatment effects across counties and/or limited statistical power in the WAS’s “switcher” subset may be important features of the data</w:t>
      </w:r>
      <w:r w:rsidRPr="00877D45">
        <w:rPr>
          <w:rFonts w:cs="Times New Roman"/>
        </w:rPr>
        <w:t>.</w:t>
      </w:r>
    </w:p>
    <w:p w14:paraId="58D9760A" w14:textId="0E01EE61" w:rsidR="00702814" w:rsidRPr="00877D45" w:rsidRDefault="00000000" w:rsidP="00F425BB">
      <w:pPr>
        <w:pStyle w:val="ListParagraph"/>
        <w:numPr>
          <w:ilvl w:val="0"/>
          <w:numId w:val="11"/>
        </w:numPr>
        <w:spacing w:after="0" w:line="480" w:lineRule="auto"/>
        <w:rPr>
          <w:rFonts w:cs="Times New Roman"/>
        </w:rPr>
      </w:pPr>
      <w:r w:rsidRPr="00877D45">
        <w:rPr>
          <w:rFonts w:cs="Times New Roman"/>
          <w:b/>
        </w:rPr>
        <w:t>Discussion and Limitations</w:t>
      </w:r>
    </w:p>
    <w:p w14:paraId="29923274" w14:textId="7589E4AE" w:rsidR="00702814" w:rsidRPr="00877D45" w:rsidRDefault="00000000">
      <w:pPr>
        <w:spacing w:after="0" w:line="480" w:lineRule="auto"/>
        <w:ind w:firstLine="720"/>
        <w:rPr>
          <w:rFonts w:cs="Times New Roman"/>
        </w:rPr>
      </w:pPr>
      <w:r w:rsidRPr="00877D45">
        <w:rPr>
          <w:rFonts w:cs="Times New Roman"/>
        </w:rPr>
        <w:t>The main result of this paper shows that a one-percentage-point increase in the WFH rate is associated with about a 1.2</w:t>
      </w:r>
      <w:r w:rsidR="00A442ED" w:rsidRPr="00877D45">
        <w:rPr>
          <w:rFonts w:cs="Times New Roman"/>
        </w:rPr>
        <w:t>3</w:t>
      </w:r>
      <w:r w:rsidRPr="00877D45">
        <w:rPr>
          <w:rFonts w:cs="Times New Roman"/>
        </w:rPr>
        <w:t xml:space="preserve">% decrease in housing prices in Metro-Core counties. This result is in the middle of existing studies. It is more negative than studies that combine all areas, but less negative than studies that focus only on city centers. Using county-level data helps improve accuracy because WFH rates are directly measured. The strongest finding is the difference across housing markets. Areas with more limited housing supply experience a larger drop in prices, about </w:t>
      </w:r>
      <w:r w:rsidR="00AD65B3" w:rsidRPr="00877D45">
        <w:rPr>
          <w:rFonts w:cs="Times New Roman"/>
        </w:rPr>
        <w:t>three times</w:t>
      </w:r>
      <w:r w:rsidRPr="00877D45">
        <w:rPr>
          <w:rFonts w:cs="Times New Roman"/>
        </w:rPr>
        <w:t xml:space="preserve"> as big as areas with more flexible supply. This supports the idea that when supply cannot adjust, prices respond more to changes in demand. The results for non-metro areas are</w:t>
      </w:r>
      <w:r w:rsidR="00F971C0">
        <w:rPr>
          <w:rFonts w:cs="Times New Roman"/>
        </w:rPr>
        <w:t xml:space="preserve"> negative and statistically significant. T</w:t>
      </w:r>
      <w:r w:rsidRPr="00877D45">
        <w:rPr>
          <w:rFonts w:cs="Times New Roman"/>
        </w:rPr>
        <w:t>here is no strong evidence that people are moving from cities to nearby areas. Overall, the results show that housing demand decreases in cities, but it is not clear where that demand goes.</w:t>
      </w:r>
    </w:p>
    <w:p w14:paraId="68A6574B" w14:textId="49A9E0C1" w:rsidR="00702814" w:rsidRPr="00877D45" w:rsidRDefault="00000000">
      <w:pPr>
        <w:spacing w:after="0" w:line="480" w:lineRule="auto"/>
        <w:ind w:firstLine="720"/>
        <w:rPr>
          <w:rFonts w:cs="Times New Roman"/>
        </w:rPr>
      </w:pPr>
      <w:r w:rsidRPr="00877D45">
        <w:rPr>
          <w:rFonts w:cs="Times New Roman"/>
        </w:rPr>
        <w:t xml:space="preserve">Several limitations should be noted. First, the analysis focuses only on California, where WFH adoption is relatively high, so the results may not apply to other states. Second, the measure of housing supply uses the price-to-income ratio as a proxy, which is not perfect and may be influenced by housing prices themselves. Therefore, this result should be seen as suggestive. Third, the sample size is relatively small (33 counties), which limits the </w:t>
      </w:r>
      <w:r w:rsidR="00AD65B3" w:rsidRPr="00877D45">
        <w:rPr>
          <w:rFonts w:cs="Times New Roman"/>
        </w:rPr>
        <w:t>power</w:t>
      </w:r>
      <w:r w:rsidRPr="00877D45">
        <w:rPr>
          <w:rFonts w:cs="Times New Roman"/>
        </w:rPr>
        <w:t xml:space="preserve"> of </w:t>
      </w:r>
      <w:r w:rsidR="00AD65B3" w:rsidRPr="00877D45">
        <w:rPr>
          <w:rFonts w:cs="Times New Roman"/>
        </w:rPr>
        <w:t>WAS</w:t>
      </w:r>
      <w:r w:rsidRPr="00877D45">
        <w:rPr>
          <w:rFonts w:cs="Times New Roman"/>
        </w:rPr>
        <w:t xml:space="preserve"> method and makes some estimates less reliable. </w:t>
      </w:r>
      <w:r w:rsidR="00664DEC" w:rsidRPr="00664DEC">
        <w:rPr>
          <w:rFonts w:cs="Times New Roman"/>
        </w:rPr>
        <w:t xml:space="preserve">Finally, although the robustness checks provide a range of consistent estimates, unobserved factors correlated with WFH adoption that </w:t>
      </w:r>
      <w:r w:rsidR="00664DEC" w:rsidRPr="00664DEC">
        <w:rPr>
          <w:rFonts w:cs="Times New Roman"/>
        </w:rPr>
        <w:lastRenderedPageBreak/>
        <w:t xml:space="preserve">are not fully captured by the income controls may </w:t>
      </w:r>
      <w:proofErr w:type="gramStart"/>
      <w:r w:rsidR="00664DEC" w:rsidRPr="00664DEC">
        <w:rPr>
          <w:rFonts w:cs="Times New Roman"/>
        </w:rPr>
        <w:t>still remain</w:t>
      </w:r>
      <w:proofErr w:type="gramEnd"/>
      <w:r w:rsidR="00664DEC" w:rsidRPr="00664DEC">
        <w:rPr>
          <w:rFonts w:cs="Times New Roman"/>
        </w:rPr>
        <w:t xml:space="preserve"> as potential confounders, despite the supporting evidence from the pre-determined WFH and Frisch–Waugh robustness checks</w:t>
      </w:r>
    </w:p>
    <w:p w14:paraId="16CBFDBB" w14:textId="657C9C99" w:rsidR="00AD65B3" w:rsidRPr="00877D45" w:rsidRDefault="00AD65B3" w:rsidP="00AD65B3">
      <w:pPr>
        <w:spacing w:after="120" w:line="440" w:lineRule="exact"/>
        <w:ind w:firstLine="720"/>
        <w:jc w:val="both"/>
        <w:rPr>
          <w:rFonts w:cs="Times New Roman"/>
        </w:rPr>
      </w:pPr>
      <w:r w:rsidRPr="00877D45">
        <w:rPr>
          <w:rFonts w:cs="Times New Roman"/>
        </w:rPr>
        <w:t xml:space="preserve">The contrast between the TWFE’s −1.234% and the </w:t>
      </w:r>
      <w:proofErr w:type="gramStart"/>
      <w:r w:rsidRPr="00877D45">
        <w:rPr>
          <w:rFonts w:cs="Times New Roman"/>
        </w:rPr>
        <w:t>DH(</w:t>
      </w:r>
      <w:proofErr w:type="gramEnd"/>
      <w:r w:rsidRPr="00877D45">
        <w:rPr>
          <w:rFonts w:cs="Times New Roman"/>
        </w:rPr>
        <w:t xml:space="preserve">2024) WAS’s +1.201% (p = 0.79) warrants attention. The WAS estimator relies on a subset of “switcher” counties that changed WFH exposure, and its large standard error (4.6%) suggests limited power. The divergence may reflect genuine treatment effect heterogeneity across counties, or it may simply reflect the low power of the WAS in a 33-county sample. Caution is warranted </w:t>
      </w:r>
      <w:proofErr w:type="gramStart"/>
      <w:r w:rsidRPr="00877D45">
        <w:rPr>
          <w:rFonts w:cs="Times New Roman"/>
        </w:rPr>
        <w:t>in</w:t>
      </w:r>
      <w:proofErr w:type="gramEnd"/>
      <w:r w:rsidRPr="00877D45">
        <w:rPr>
          <w:rFonts w:cs="Times New Roman"/>
        </w:rPr>
        <w:t xml:space="preserve"> extrapolating the TWFE estimate to counties with very different WFH trajectories.</w:t>
      </w:r>
    </w:p>
    <w:p w14:paraId="506FB934" w14:textId="19DAA3C2" w:rsidR="00702814" w:rsidRPr="00877D45" w:rsidRDefault="00000000" w:rsidP="00F425BB">
      <w:pPr>
        <w:pStyle w:val="ListParagraph"/>
        <w:numPr>
          <w:ilvl w:val="0"/>
          <w:numId w:val="11"/>
        </w:numPr>
        <w:spacing w:after="0" w:line="480" w:lineRule="auto"/>
        <w:rPr>
          <w:rFonts w:cs="Times New Roman"/>
        </w:rPr>
      </w:pPr>
      <w:r w:rsidRPr="00877D45">
        <w:rPr>
          <w:rFonts w:cs="Times New Roman"/>
          <w:b/>
        </w:rPr>
        <w:t>Conclusion</w:t>
      </w:r>
    </w:p>
    <w:p w14:paraId="6920DB60" w14:textId="0B37A789" w:rsidR="00702814" w:rsidRPr="00877D45" w:rsidRDefault="00000000">
      <w:pPr>
        <w:spacing w:after="0" w:line="480" w:lineRule="auto"/>
        <w:ind w:firstLine="720"/>
        <w:rPr>
          <w:rFonts w:cs="Times New Roman"/>
        </w:rPr>
      </w:pPr>
      <w:r w:rsidRPr="00877D45">
        <w:rPr>
          <w:rFonts w:cs="Times New Roman"/>
        </w:rPr>
        <w:t>My paper studies how work-from-home (WFH) affects housing prices in California’s Metro-Core counties from 2017 to 2023. I find that a one-percentage-point increase in the WFH rate is associated with about a 1.2</w:t>
      </w:r>
      <w:r w:rsidR="00AD65B3" w:rsidRPr="00877D45">
        <w:rPr>
          <w:rFonts w:cs="Times New Roman"/>
        </w:rPr>
        <w:t>3</w:t>
      </w:r>
      <w:r w:rsidRPr="00877D45">
        <w:rPr>
          <w:rFonts w:cs="Times New Roman"/>
        </w:rPr>
        <w:t>% decrease in housing prices</w:t>
      </w:r>
      <w:r w:rsidR="00F21FDB" w:rsidRPr="00877D45">
        <w:rPr>
          <w:rFonts w:cs="Times New Roman"/>
        </w:rPr>
        <w:t>- an effect that grows monotonically from −0.74%** in 2020 to −1.04%** in 2023</w:t>
      </w:r>
      <w:r w:rsidRPr="00877D45">
        <w:rPr>
          <w:rFonts w:cs="Times New Roman"/>
        </w:rPr>
        <w:t>. The negative effect is larger in areas where housing supply is more constrained. Counties with higher price-to-income ratios show a stronger decline in prices compared to less constrained areas. This is consistent with the idea that prices respond more when supply cannot easily adjust. Robustness checks show that the effect ranges from about −0.</w:t>
      </w:r>
      <w:r w:rsidR="00F21FDB" w:rsidRPr="00877D45">
        <w:rPr>
          <w:rFonts w:cs="Times New Roman"/>
        </w:rPr>
        <w:t>8</w:t>
      </w:r>
      <w:r w:rsidRPr="00877D45">
        <w:rPr>
          <w:rFonts w:cs="Times New Roman"/>
        </w:rPr>
        <w:t>% to −1.</w:t>
      </w:r>
      <w:r w:rsidR="00F21FDB" w:rsidRPr="00877D45">
        <w:rPr>
          <w:rFonts w:cs="Times New Roman"/>
        </w:rPr>
        <w:t>5</w:t>
      </w:r>
      <w:r w:rsidRPr="00877D45">
        <w:rPr>
          <w:rFonts w:cs="Times New Roman"/>
        </w:rPr>
        <w:t>%, suggesting that the result is somewhat sensitive to different specifications but remains negative overall.</w:t>
      </w:r>
    </w:p>
    <w:p w14:paraId="2C8CE9C3" w14:textId="77777777" w:rsidR="00702814" w:rsidRPr="00877D45" w:rsidRDefault="00000000">
      <w:pPr>
        <w:spacing w:after="0" w:line="480" w:lineRule="auto"/>
        <w:ind w:firstLine="720"/>
        <w:rPr>
          <w:rFonts w:cs="Times New Roman"/>
        </w:rPr>
      </w:pPr>
      <w:r w:rsidRPr="00877D45">
        <w:rPr>
          <w:rFonts w:cs="Times New Roman"/>
        </w:rPr>
        <w:t>Overall, the findings suggest that WFH is linked to a decline in housing demand in metropolitan areas, especially in supply-constrained markets.</w:t>
      </w:r>
    </w:p>
    <w:p w14:paraId="34F0A94B" w14:textId="77777777" w:rsidR="00702814" w:rsidRPr="00877D45" w:rsidRDefault="00000000">
      <w:pPr>
        <w:rPr>
          <w:rFonts w:cs="Times New Roman"/>
        </w:rPr>
      </w:pPr>
      <w:r w:rsidRPr="00877D45">
        <w:rPr>
          <w:rFonts w:cs="Times New Roman"/>
        </w:rPr>
        <w:br w:type="page"/>
      </w:r>
    </w:p>
    <w:p w14:paraId="0F9B78B7" w14:textId="77777777" w:rsidR="00702814" w:rsidRPr="00877D45" w:rsidRDefault="00000000">
      <w:pPr>
        <w:spacing w:after="0" w:line="480" w:lineRule="auto"/>
        <w:jc w:val="center"/>
        <w:rPr>
          <w:rFonts w:cs="Times New Roman"/>
        </w:rPr>
      </w:pPr>
      <w:r w:rsidRPr="00877D45">
        <w:rPr>
          <w:rFonts w:cs="Times New Roman"/>
          <w:b/>
        </w:rPr>
        <w:lastRenderedPageBreak/>
        <w:t>References</w:t>
      </w:r>
    </w:p>
    <w:p w14:paraId="5A72CF7B" w14:textId="77777777" w:rsidR="00702814" w:rsidRPr="00877D45" w:rsidRDefault="00000000">
      <w:pPr>
        <w:spacing w:after="0" w:line="480" w:lineRule="auto"/>
        <w:ind w:left="720" w:hanging="720"/>
        <w:rPr>
          <w:rFonts w:cs="Times New Roman"/>
        </w:rPr>
      </w:pPr>
      <w:r w:rsidRPr="00877D45">
        <w:rPr>
          <w:rFonts w:cs="Times New Roman"/>
        </w:rPr>
        <w:t>Albouy, D., &amp; Stuart, B. (2020). Urban population and amenities: The neoclassical model of location. International Economic Review, 61(1), 127–150.</w:t>
      </w:r>
    </w:p>
    <w:p w14:paraId="018E9B12" w14:textId="77777777" w:rsidR="00702814" w:rsidRPr="00877D45" w:rsidRDefault="00000000">
      <w:pPr>
        <w:spacing w:after="0" w:line="480" w:lineRule="auto"/>
        <w:ind w:left="720" w:hanging="720"/>
        <w:rPr>
          <w:rFonts w:cs="Times New Roman"/>
        </w:rPr>
      </w:pPr>
      <w:r w:rsidRPr="00877D45">
        <w:rPr>
          <w:rFonts w:cs="Times New Roman"/>
        </w:rPr>
        <w:t>Brueckner, J. K., Thisse, J.-F., &amp; Zenou, Y. (1999). Why is central Paris rich and downtown Detroit poor? An amenity-based theory. European Economic Review, 43(1), 91–107.</w:t>
      </w:r>
    </w:p>
    <w:p w14:paraId="56DFBEE7" w14:textId="77777777" w:rsidR="00702814" w:rsidRPr="00877D45" w:rsidRDefault="00000000">
      <w:pPr>
        <w:spacing w:after="0" w:line="480" w:lineRule="auto"/>
        <w:ind w:left="720" w:hanging="720"/>
        <w:rPr>
          <w:rFonts w:cs="Times New Roman"/>
        </w:rPr>
      </w:pPr>
      <w:r w:rsidRPr="00877D45">
        <w:rPr>
          <w:rFonts w:cs="Times New Roman"/>
        </w:rPr>
        <w:t>Callaway, B., Goodman-Bacon, A., &amp; Sant'Anna, P. H. C. (2024). Difference-in-differences with a continuous treatment (NBER Working Paper No. 32117). National Bureau of Economic Research.</w:t>
      </w:r>
    </w:p>
    <w:p w14:paraId="60AB9B0E" w14:textId="77777777" w:rsidR="00702814" w:rsidRPr="00877D45" w:rsidRDefault="00000000">
      <w:pPr>
        <w:spacing w:after="0" w:line="480" w:lineRule="auto"/>
        <w:ind w:left="720" w:hanging="720"/>
        <w:rPr>
          <w:rFonts w:cs="Times New Roman"/>
        </w:rPr>
      </w:pPr>
      <w:r w:rsidRPr="00877D45">
        <w:rPr>
          <w:rFonts w:cs="Times New Roman"/>
        </w:rPr>
        <w:t>Davis, M. A., Ghent, A. C., &amp; Gregory, J. (2023). The work-from-home technology boon and its consequences (NBER Working Paper No. 28461). National Bureau of Economic Research.</w:t>
      </w:r>
    </w:p>
    <w:p w14:paraId="3268460C" w14:textId="77777777" w:rsidR="00702814" w:rsidRPr="00877D45" w:rsidRDefault="00000000">
      <w:pPr>
        <w:spacing w:after="0" w:line="480" w:lineRule="auto"/>
        <w:ind w:left="720" w:hanging="720"/>
        <w:rPr>
          <w:rFonts w:cs="Times New Roman"/>
        </w:rPr>
      </w:pPr>
      <w:r w:rsidRPr="00877D45">
        <w:rPr>
          <w:rFonts w:cs="Times New Roman"/>
        </w:rPr>
        <w:t>de Chaisemartin, C., &amp; D'Haultfoeuille, X. (2020). Two-way fixed effects estimators with heterogeneous treatment effects. American Economic Review, 110(9), 2964–2996.</w:t>
      </w:r>
    </w:p>
    <w:p w14:paraId="65540BA8" w14:textId="77777777" w:rsidR="00702814" w:rsidRPr="00877D45" w:rsidRDefault="00000000">
      <w:pPr>
        <w:spacing w:after="0" w:line="480" w:lineRule="auto"/>
        <w:ind w:left="720" w:hanging="720"/>
        <w:rPr>
          <w:rFonts w:cs="Times New Roman"/>
        </w:rPr>
      </w:pPr>
      <w:r w:rsidRPr="00877D45">
        <w:rPr>
          <w:rFonts w:cs="Times New Roman"/>
        </w:rPr>
        <w:t>de Chaisemartin, C., &amp; D'Haultfoeuille, X. (2024). Difference-in-differences estimators of intertemporal treatment effects. Review of Economics and Statistics. Advance online publication.</w:t>
      </w:r>
    </w:p>
    <w:p w14:paraId="645008F1" w14:textId="77777777" w:rsidR="00702814" w:rsidRPr="00877D45" w:rsidRDefault="00000000">
      <w:pPr>
        <w:spacing w:after="0" w:line="480" w:lineRule="auto"/>
        <w:ind w:left="720" w:hanging="720"/>
        <w:rPr>
          <w:rFonts w:cs="Times New Roman"/>
        </w:rPr>
      </w:pPr>
      <w:r w:rsidRPr="00877D45">
        <w:rPr>
          <w:rFonts w:cs="Times New Roman"/>
        </w:rPr>
        <w:t>Glaeser, E. L., &amp; Gyourko, J. (2018). The economic implications of housing supply. Journal of Economic Perspectives, 32(1), 3–30.</w:t>
      </w:r>
    </w:p>
    <w:p w14:paraId="6D73E861" w14:textId="77777777" w:rsidR="00702814" w:rsidRPr="00877D45" w:rsidRDefault="00000000">
      <w:pPr>
        <w:spacing w:after="0" w:line="480" w:lineRule="auto"/>
        <w:ind w:left="720" w:hanging="720"/>
        <w:rPr>
          <w:rFonts w:cs="Times New Roman"/>
        </w:rPr>
      </w:pPr>
      <w:r w:rsidRPr="00877D45">
        <w:rPr>
          <w:rFonts w:cs="Times New Roman"/>
        </w:rPr>
        <w:t>Gupta, A., Mittal, V., Peeters, J., &amp; Van Nieuwerburgh, S. (2022). Flattening the curve: Pandemic-induced revaluation of urban real estate. Journal of Financial Economics, 146(2), 594–636.</w:t>
      </w:r>
    </w:p>
    <w:p w14:paraId="12A6C17C" w14:textId="77777777" w:rsidR="00702814" w:rsidRPr="00877D45" w:rsidRDefault="00000000">
      <w:pPr>
        <w:spacing w:after="0" w:line="480" w:lineRule="auto"/>
        <w:ind w:left="720" w:hanging="720"/>
        <w:rPr>
          <w:rFonts w:cs="Times New Roman"/>
        </w:rPr>
      </w:pPr>
      <w:r w:rsidRPr="00877D45">
        <w:rPr>
          <w:rFonts w:cs="Times New Roman"/>
        </w:rPr>
        <w:t>Liu, S., &amp; Su, Y. (2021). The impact of the COVID-19 pandemic on the demand for density: Evidence from the US housing market. Economics Letters, 207, 110010.</w:t>
      </w:r>
    </w:p>
    <w:p w14:paraId="2259696C" w14:textId="77777777" w:rsidR="00702814" w:rsidRPr="00877D45" w:rsidRDefault="00000000">
      <w:pPr>
        <w:spacing w:after="0" w:line="480" w:lineRule="auto"/>
        <w:ind w:left="720" w:hanging="720"/>
        <w:rPr>
          <w:rFonts w:cs="Times New Roman"/>
        </w:rPr>
      </w:pPr>
      <w:r w:rsidRPr="00877D45">
        <w:rPr>
          <w:rFonts w:cs="Times New Roman"/>
        </w:rPr>
        <w:lastRenderedPageBreak/>
        <w:t>Ramani, A., &amp; Bloom, N. (2021). The donut effect of COVID-19 on cities (NBER Working Paper No. 28876). National Bureau of Economic Research.</w:t>
      </w:r>
    </w:p>
    <w:p w14:paraId="5B2E10A0" w14:textId="77777777" w:rsidR="00702814" w:rsidRPr="00877D45" w:rsidRDefault="00000000">
      <w:pPr>
        <w:spacing w:after="0" w:line="480" w:lineRule="auto"/>
        <w:ind w:left="720" w:hanging="720"/>
        <w:rPr>
          <w:rFonts w:cs="Times New Roman"/>
        </w:rPr>
      </w:pPr>
      <w:r w:rsidRPr="00877D45">
        <w:rPr>
          <w:rFonts w:cs="Times New Roman"/>
        </w:rPr>
        <w:t>Saiz, A. (2010). The geographic determinants of housing supply. Quarterly Journal of Economics, 125(3), 1253–1296.</w:t>
      </w:r>
    </w:p>
    <w:sectPr w:rsidR="00702814" w:rsidRPr="00877D45"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9973C84"/>
    <w:multiLevelType w:val="multilevel"/>
    <w:tmpl w:val="371C7EAC"/>
    <w:lvl w:ilvl="0">
      <w:start w:val="1"/>
      <w:numFmt w:val="decimal"/>
      <w:lvlText w:val="%1."/>
      <w:lvlJc w:val="left"/>
      <w:pPr>
        <w:ind w:left="720" w:hanging="360"/>
      </w:pPr>
      <w:rPr>
        <w:rFonts w:hint="default"/>
        <w:b/>
      </w:rPr>
    </w:lvl>
    <w:lvl w:ilvl="1">
      <w:start w:val="3"/>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10" w15:restartNumberingAfterBreak="0">
    <w:nsid w:val="7EBC3745"/>
    <w:multiLevelType w:val="hybridMultilevel"/>
    <w:tmpl w:val="7110EE1A"/>
    <w:lvl w:ilvl="0" w:tplc="DDC0CAF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60025556">
    <w:abstractNumId w:val="8"/>
  </w:num>
  <w:num w:numId="2" w16cid:durableId="1191407456">
    <w:abstractNumId w:val="6"/>
  </w:num>
  <w:num w:numId="3" w16cid:durableId="1617446074">
    <w:abstractNumId w:val="5"/>
  </w:num>
  <w:num w:numId="4" w16cid:durableId="73625171">
    <w:abstractNumId w:val="4"/>
  </w:num>
  <w:num w:numId="5" w16cid:durableId="1062675717">
    <w:abstractNumId w:val="7"/>
  </w:num>
  <w:num w:numId="6" w16cid:durableId="7105672">
    <w:abstractNumId w:val="3"/>
  </w:num>
  <w:num w:numId="7" w16cid:durableId="1229002594">
    <w:abstractNumId w:val="2"/>
  </w:num>
  <w:num w:numId="8" w16cid:durableId="304044797">
    <w:abstractNumId w:val="1"/>
  </w:num>
  <w:num w:numId="9" w16cid:durableId="1477841982">
    <w:abstractNumId w:val="0"/>
  </w:num>
  <w:num w:numId="10" w16cid:durableId="680208605">
    <w:abstractNumId w:val="10"/>
  </w:num>
  <w:num w:numId="11" w16cid:durableId="200331715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813"/>
    <w:rsid w:val="000341B1"/>
    <w:rsid w:val="00034616"/>
    <w:rsid w:val="0006063C"/>
    <w:rsid w:val="0015074B"/>
    <w:rsid w:val="001B5F19"/>
    <w:rsid w:val="001F4C71"/>
    <w:rsid w:val="0029639D"/>
    <w:rsid w:val="002C1641"/>
    <w:rsid w:val="002D6DB2"/>
    <w:rsid w:val="002F3D12"/>
    <w:rsid w:val="00326F90"/>
    <w:rsid w:val="00407A2E"/>
    <w:rsid w:val="004457CF"/>
    <w:rsid w:val="004B3211"/>
    <w:rsid w:val="004D17AF"/>
    <w:rsid w:val="00542ADC"/>
    <w:rsid w:val="00664DEC"/>
    <w:rsid w:val="00674BF2"/>
    <w:rsid w:val="006C1B87"/>
    <w:rsid w:val="00702814"/>
    <w:rsid w:val="007A4ABF"/>
    <w:rsid w:val="007D1016"/>
    <w:rsid w:val="00803D52"/>
    <w:rsid w:val="00877D45"/>
    <w:rsid w:val="009008CB"/>
    <w:rsid w:val="00906C98"/>
    <w:rsid w:val="0094252E"/>
    <w:rsid w:val="00955EFF"/>
    <w:rsid w:val="0098012B"/>
    <w:rsid w:val="009B66B3"/>
    <w:rsid w:val="009C60E7"/>
    <w:rsid w:val="009D3528"/>
    <w:rsid w:val="00A17014"/>
    <w:rsid w:val="00A40D09"/>
    <w:rsid w:val="00A442ED"/>
    <w:rsid w:val="00A4732F"/>
    <w:rsid w:val="00A71A76"/>
    <w:rsid w:val="00AA1D8D"/>
    <w:rsid w:val="00AA7FB3"/>
    <w:rsid w:val="00AD2072"/>
    <w:rsid w:val="00AD55DD"/>
    <w:rsid w:val="00AD65B3"/>
    <w:rsid w:val="00B03DAD"/>
    <w:rsid w:val="00B34879"/>
    <w:rsid w:val="00B47730"/>
    <w:rsid w:val="00BA53FE"/>
    <w:rsid w:val="00C40519"/>
    <w:rsid w:val="00C675F2"/>
    <w:rsid w:val="00CA7AF6"/>
    <w:rsid w:val="00CB0664"/>
    <w:rsid w:val="00D47484"/>
    <w:rsid w:val="00DB361A"/>
    <w:rsid w:val="00DB3FEB"/>
    <w:rsid w:val="00DD7CB7"/>
    <w:rsid w:val="00DE6585"/>
    <w:rsid w:val="00DF220C"/>
    <w:rsid w:val="00E3054A"/>
    <w:rsid w:val="00E511AC"/>
    <w:rsid w:val="00E6472C"/>
    <w:rsid w:val="00E8028D"/>
    <w:rsid w:val="00E9344B"/>
    <w:rsid w:val="00EA4362"/>
    <w:rsid w:val="00EB22CA"/>
    <w:rsid w:val="00F00D9A"/>
    <w:rsid w:val="00F21FDB"/>
    <w:rsid w:val="00F24C43"/>
    <w:rsid w:val="00F425BB"/>
    <w:rsid w:val="00F42C89"/>
    <w:rsid w:val="00F873AD"/>
    <w:rsid w:val="00F971C0"/>
    <w:rsid w:val="00FC693F"/>
    <w:rsid w:val="00FE6FC8"/>
    <w:rsid w:val="00FF6B0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804F3ED-68C0-4C19-9256-66BC68D474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E802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TotalTime>
  <Pages>16</Pages>
  <Words>3692</Words>
  <Characters>20460</Characters>
  <Application>Microsoft Office Word</Application>
  <DocSecurity>0</DocSecurity>
  <Lines>499</Lines>
  <Paragraphs>298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23854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Tuan Truong</cp:lastModifiedBy>
  <cp:revision>56</cp:revision>
  <dcterms:created xsi:type="dcterms:W3CDTF">2013-12-23T23:15:00Z</dcterms:created>
  <dcterms:modified xsi:type="dcterms:W3CDTF">2026-05-18T23:55:00Z</dcterms:modified>
  <cp:category/>
</cp:coreProperties>
</file>