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0329444130013698</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0329444130</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0329444130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