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B0F19"/>
          <w:sz w:val="44"/>
        </w:rPr>
        <w:t>BÁO CÁO THẨM ĐỊNH ĐỊNH LƯỢNG</w:t>
        <w:br/>
        <w:t>&amp; QUY TRÌNH VẬN HÀNH</w:t>
        <w:br/>
        <w:t>HỆ THỐNG GOLDXQUANT HUB</w:t>
      </w:r>
    </w:p>
    <w:p>
      <w:pPr>
        <w:spacing w:before="240"/>
        <w:jc w:val="center"/>
      </w:pPr>
      <w:r>
        <w:rPr>
          <w:rFonts w:ascii="Arial" w:hAnsi="Arial"/>
          <w:i/>
          <w:color w:val="806316"/>
          <w:sz w:val="24"/>
        </w:rPr>
        <w:t>Hệ thống dự báo xu hướng giá vàng hàng ngày (D1) tích hợp Machine Learning và Trí tuệ Nhân tạo (NLP)</w:t>
      </w:r>
    </w:p>
    <w:p>
      <w:pPr>
        <w:spacing w:before="2400" w:after="800"/>
        <w:jc w:val="center"/>
      </w:pPr>
      <w:r>
        <w:rPr>
          <w:rFonts w:ascii="Arial" w:hAnsi="Arial"/>
          <w:color w:val="333333"/>
          <w:sz w:val="20"/>
        </w:rPr>
        <w:t>Đơn vị phát triển: Phòng Nghiên cứu Định lượng GoldXQuant</w:t>
        <w:br/>
        <w:t>Tài liệu kỹ thuật nội bộ - Bảo mật lưu hành</w:t>
        <w:br/>
        <w:t>Thời gian phát hành: Tháng 05, Năm 2026</w:t>
      </w:r>
    </w:p>
    <w:p>
      <w:r>
        <w:br w:type="page"/>
      </w:r>
    </w:p>
    <w:p>
      <w:pPr>
        <w:keepNext/>
        <w:spacing w:before="360" w:after="120"/>
      </w:pPr>
      <w:r>
        <w:rPr>
          <w:rFonts w:ascii="Arial" w:hAnsi="Arial"/>
          <w:b/>
          <w:color w:val="0B0F19"/>
          <w:sz w:val="30"/>
        </w:rPr>
        <w:t>1. Tổng quan dự án GoldXQuant Hub</w:t>
      </w:r>
    </w:p>
    <w:p>
      <w:pPr>
        <w:spacing w:before="0" w:after="120" w:line="276" w:lineRule="auto"/>
        <w:jc w:val="left"/>
      </w:pPr>
      <w:r>
        <w:rPr>
          <w:rFonts w:ascii="Arial" w:hAnsi="Arial"/>
          <w:b w:val="0"/>
          <w:i w:val="0"/>
          <w:color w:val="333333"/>
          <w:sz w:val="21"/>
        </w:rPr>
        <w:t>Hệ thống GoldXQuant Hub được thiết kế để giải quyết bài toán cốt lõi trong giao dịch định lượng: Cung cấp các thông tin phân tích kỹ thuật chuẩn xác, lưu trữ tập trung dữ liệu lịch sử giá vàng (D1), huấn luyện tự động mo hình học máy phân lớp XGBoost Classifier để dự báo xu hướng tiếp theo của thị trường, và tích hợp một cổng trợ lý AI phân tích bằng ngôn ngữ tự nhiên tiếng Việt.</w:t>
      </w:r>
    </w:p>
    <w:p>
      <w:pPr>
        <w:spacing w:before="0" w:after="120" w:line="276" w:lineRule="auto"/>
        <w:jc w:val="left"/>
      </w:pPr>
      <w:r>
        <w:rPr>
          <w:rFonts w:ascii="Arial" w:hAnsi="Arial"/>
          <w:b w:val="0"/>
          <w:i w:val="0"/>
          <w:color w:val="333333"/>
          <w:sz w:val="21"/>
        </w:rPr>
        <w:t>Hệ thống bao gồm ba cấu phần cốt lõi:</w:t>
      </w:r>
    </w:p>
    <w:p>
      <w:pPr>
        <w:pStyle w:val="ListBullet"/>
        <w:spacing w:before="0" w:after="60"/>
      </w:pPr>
      <w:r>
        <w:rPr>
          <w:rFonts w:ascii="Arial" w:hAnsi="Arial"/>
          <w:color w:val="333333"/>
          <w:sz w:val="21"/>
        </w:rPr>
        <w:t>Bộ xử lý toán học định lượng: Chịu trách nhiệm tính toán chuẩn xác các chỉ số kỹ thuật nâng cao bao gồm MA10, MA30, MA50, Relative Strength Index (RSI14) làm mượt theo phương pháp Wilder, Moving Average Convergence Divergence (MACD 12, 26, 9) và Historical Volatility (Độ biến động lịch sử 20 phiên).</w:t>
      </w:r>
    </w:p>
    <w:p>
      <w:pPr>
        <w:pStyle w:val="ListBullet"/>
        <w:spacing w:before="0" w:after="60"/>
      </w:pPr>
      <w:r>
        <w:rPr>
          <w:rFonts w:ascii="Arial" w:hAnsi="Arial"/>
          <w:color w:val="333333"/>
          <w:sz w:val="21"/>
        </w:rPr>
        <w:t>Công cụ học máy XGBoost Engine: Thực thi luồng huấn luyện tối ưu hóa, tự động chia tập dữ liệu huấn luyện và kiểm thử theo trình tự thời gian (Chronological Split) với tỷ lệ 70:30 nghiêm ngặt để chống rò rỉ dữ liệu (Look-Ahead Bias) và đưa ra dự báo xác suất xu hướng phiên giao dịch tiếp theo.</w:t>
      </w:r>
    </w:p>
    <w:p>
      <w:pPr>
        <w:pStyle w:val="ListBullet"/>
        <w:spacing w:before="0" w:after="60"/>
      </w:pPr>
      <w:r>
        <w:rPr>
          <w:rFonts w:ascii="Arial" w:hAnsi="Arial"/>
          <w:color w:val="333333"/>
          <w:sz w:val="21"/>
        </w:rPr>
        <w:t>Trợ lý truy vấn ngôn ngữ tự nhiên không dấu (Accent-Insensitive NLP Workspace): Tiếp nhận các câu hỏi tự nhiên bằng tiếng Việt từ giao diện người dùng, tự động chuyển đổi sang các câu lệnh SQL an toàn và hiển thị bảng dữ liệu định dạng trực quan.</w:t>
      </w:r>
    </w:p>
    <w:p>
      <w:pPr>
        <w:keepNext/>
        <w:spacing w:before="360" w:after="120"/>
      </w:pPr>
      <w:r>
        <w:rPr>
          <w:rFonts w:ascii="Arial" w:hAnsi="Arial"/>
          <w:b/>
          <w:color w:val="0B0F19"/>
          <w:sz w:val="30"/>
        </w:rPr>
        <w:t>2. Thẩm định công thức toán học chỉ số kỹ thuật</w:t>
      </w:r>
    </w:p>
    <w:p>
      <w:pPr>
        <w:spacing w:before="0" w:after="120" w:line="276" w:lineRule="auto"/>
        <w:jc w:val="left"/>
      </w:pPr>
      <w:r>
        <w:rPr>
          <w:rFonts w:ascii="Arial" w:hAnsi="Arial"/>
          <w:b w:val="0"/>
          <w:i w:val="0"/>
          <w:color w:val="333333"/>
          <w:sz w:val="21"/>
        </w:rPr>
        <w:t>Toàn bộ các chỉ số được tính toán thông qua tệp 'calculate_indicators.py' trên nền tảng pandas và numpy dựa theo các chuẩn công thức tài chính:</w:t>
      </w:r>
    </w:p>
    <w:p>
      <w:pPr>
        <w:keepNext/>
        <w:spacing w:before="240" w:after="80"/>
      </w:pPr>
      <w:r>
        <w:rPr>
          <w:rFonts w:ascii="Arial" w:hAnsi="Arial"/>
          <w:b/>
          <w:color w:val="806316"/>
          <w:sz w:val="24"/>
        </w:rPr>
        <w:t>A. Đường trung bình động giản đơn (MA10, MA30, MA50)</w:t>
      </w:r>
    </w:p>
    <w:p>
      <w:pPr>
        <w:spacing w:before="0" w:after="120" w:line="276" w:lineRule="auto"/>
        <w:jc w:val="left"/>
      </w:pPr>
      <w:r>
        <w:rPr>
          <w:rFonts w:ascii="Arial" w:hAnsi="Arial"/>
          <w:b w:val="0"/>
          <w:i w:val="0"/>
          <w:color w:val="333333"/>
          <w:sz w:val="21"/>
        </w:rPr>
        <w:t>Đường trung bình động phản ánh xu hướng giá đóng cửa trung bình của N phiên liên tiếp nhằm loại bỏ các nhiễu giá ngắn hạn:</w:t>
      </w:r>
    </w:p>
    <w:p>
      <w:pPr>
        <w:spacing w:before="0" w:after="120" w:line="276" w:lineRule="auto"/>
        <w:jc w:val="center"/>
      </w:pPr>
      <w:r>
        <w:rPr>
          <w:rFonts w:ascii="Arial" w:hAnsi="Arial"/>
          <w:b w:val="0"/>
          <w:i/>
          <w:color w:val="333333"/>
          <w:sz w:val="21"/>
        </w:rPr>
        <w:t>MA_N = (Close_t + Close_{t-1} + ... + Close_{t-N+1}) / N</w:t>
      </w:r>
    </w:p>
    <w:p>
      <w:pPr>
        <w:keepNext/>
        <w:spacing w:before="240" w:after="80"/>
      </w:pPr>
      <w:r>
        <w:rPr>
          <w:rFonts w:ascii="Arial" w:hAnsi="Arial"/>
          <w:b/>
          <w:color w:val="806316"/>
          <w:sz w:val="24"/>
        </w:rPr>
        <w:t>B. Relative Strength Index (RSI14)</w:t>
      </w:r>
    </w:p>
    <w:p>
      <w:pPr>
        <w:spacing w:before="0" w:after="120" w:line="276" w:lineRule="auto"/>
        <w:jc w:val="left"/>
      </w:pPr>
      <w:r>
        <w:rPr>
          <w:rFonts w:ascii="Arial" w:hAnsi="Arial"/>
          <w:b w:val="0"/>
          <w:i w:val="0"/>
          <w:color w:val="333333"/>
          <w:sz w:val="21"/>
        </w:rPr>
        <w:t>Được tính toán bằng phương pháp làm mượt trượt mũ đặc trưng của J. Welles Wilder (Wilder's Smoothing) chu kỳ 14:</w:t>
      </w:r>
    </w:p>
    <w:p>
      <w:pPr>
        <w:pStyle w:val="ListBullet"/>
        <w:spacing w:before="0" w:after="60"/>
      </w:pPr>
      <w:r>
        <w:rPr>
          <w:rFonts w:ascii="Arial" w:hAnsi="Arial"/>
          <w:color w:val="333333"/>
          <w:sz w:val="21"/>
        </w:rPr>
        <w:t>Bước 1: Tính chênh lệch giá hàng ngày: Delta = Close_t - Close_{t-1}</w:t>
      </w:r>
    </w:p>
    <w:p>
      <w:pPr>
        <w:pStyle w:val="ListBullet"/>
        <w:spacing w:before="0" w:after="60"/>
      </w:pPr>
      <w:r>
        <w:rPr>
          <w:rFonts w:ascii="Arial" w:hAnsi="Arial"/>
          <w:color w:val="333333"/>
          <w:sz w:val="21"/>
        </w:rPr>
        <w:t>Bước 2: Phân tách thành Gain (lượng tăng) và Loss (lượng giảm): Gain = max(Delta, 0), Loss = max(-Delta, 0)</w:t>
      </w:r>
    </w:p>
    <w:p>
      <w:pPr>
        <w:pStyle w:val="ListBullet"/>
        <w:spacing w:before="0" w:after="60"/>
      </w:pPr>
      <w:r>
        <w:rPr>
          <w:rFonts w:ascii="Arial" w:hAnsi="Arial"/>
          <w:color w:val="333333"/>
          <w:sz w:val="21"/>
        </w:rPr>
        <w:t>Bước 3: Tính trung bình mũ Wilder với chu kỳ alpha = 1/14:</w:t>
      </w:r>
    </w:p>
    <w:p>
      <w:pPr>
        <w:pStyle w:val="ListBullet"/>
        <w:spacing w:before="0" w:after="60"/>
      </w:pPr>
      <w:r>
        <w:rPr>
          <w:rFonts w:ascii="Arial" w:hAnsi="Arial"/>
          <w:color w:val="333333"/>
          <w:sz w:val="21"/>
        </w:rPr>
        <w:t>AvgGain_t = (AvgGain_{t-1} * 13 + Gain_t) / 14</w:t>
      </w:r>
    </w:p>
    <w:p>
      <w:pPr>
        <w:pStyle w:val="ListBullet"/>
        <w:spacing w:before="0" w:after="60"/>
      </w:pPr>
      <w:r>
        <w:rPr>
          <w:rFonts w:ascii="Arial" w:hAnsi="Arial"/>
          <w:color w:val="333333"/>
          <w:sz w:val="21"/>
        </w:rPr>
        <w:t>AvgLoss_t = (AvgLoss_{t-1} * 13 + Loss_t) / 14</w:t>
      </w:r>
    </w:p>
    <w:p>
      <w:pPr>
        <w:pStyle w:val="ListBullet"/>
        <w:spacing w:before="0" w:after="60"/>
      </w:pPr>
      <w:r>
        <w:rPr>
          <w:rFonts w:ascii="Arial" w:hAnsi="Arial"/>
          <w:color w:val="333333"/>
          <w:sz w:val="21"/>
        </w:rPr>
        <w:t>Bước 4: Tính RS = AvgGain / AvgLoss</w:t>
      </w:r>
    </w:p>
    <w:p>
      <w:pPr>
        <w:pStyle w:val="ListBullet"/>
        <w:spacing w:before="0" w:after="60"/>
      </w:pPr>
      <w:r>
        <w:rPr>
          <w:rFonts w:ascii="Arial" w:hAnsi="Arial"/>
          <w:color w:val="333333"/>
          <w:sz w:val="21"/>
        </w:rPr>
        <w:t>Bước 5: RSI = 100 - [100 / (1 + RS)]</w:t>
      </w:r>
    </w:p>
    <w:p>
      <w:pPr>
        <w:keepNext/>
        <w:spacing w:before="240" w:after="80"/>
      </w:pPr>
      <w:r>
        <w:rPr>
          <w:rFonts w:ascii="Arial" w:hAnsi="Arial"/>
          <w:b/>
          <w:color w:val="806316"/>
          <w:sz w:val="24"/>
        </w:rPr>
        <w:t>C. Moving Average Convergence Divergence (MACD 12, 26, 9)</w:t>
      </w:r>
    </w:p>
    <w:p>
      <w:pPr>
        <w:pStyle w:val="ListBullet"/>
        <w:spacing w:before="0" w:after="60"/>
      </w:pPr>
      <w:r>
        <w:rPr>
          <w:rFonts w:ascii="Arial" w:hAnsi="Arial"/>
          <w:color w:val="333333"/>
          <w:sz w:val="21"/>
        </w:rPr>
        <w:t>Đường EMA12 và EMA26 được tính toán theo phương pháp làm mượt trung bình mũ chuẩn.</w:t>
      </w:r>
    </w:p>
    <w:p>
      <w:pPr>
        <w:pStyle w:val="ListBullet"/>
        <w:spacing w:before="0" w:after="60"/>
      </w:pPr>
      <w:r>
        <w:rPr>
          <w:rFonts w:ascii="Arial" w:hAnsi="Arial"/>
          <w:color w:val="333333"/>
          <w:sz w:val="21"/>
        </w:rPr>
        <w:t>Đường MACD chính = EMA12 - EMA26</w:t>
      </w:r>
    </w:p>
    <w:p>
      <w:pPr>
        <w:pStyle w:val="ListBullet"/>
        <w:spacing w:before="0" w:after="60"/>
      </w:pPr>
      <w:r>
        <w:rPr>
          <w:rFonts w:ascii="Arial" w:hAnsi="Arial"/>
          <w:color w:val="333333"/>
          <w:sz w:val="21"/>
        </w:rPr>
        <w:t>Đường Tín hiệu (Signal Line) = EMA 9 phiên của đường MACD chính.</w:t>
      </w:r>
    </w:p>
    <w:p>
      <w:pPr>
        <w:pStyle w:val="ListBullet"/>
        <w:spacing w:before="0" w:after="60"/>
      </w:pPr>
      <w:r>
        <w:rPr>
          <w:rFonts w:ascii="Arial" w:hAnsi="Arial"/>
          <w:color w:val="333333"/>
          <w:sz w:val="21"/>
        </w:rPr>
        <w:t>Biểu đồ MACD (Histogram) = MACD Line - Signal Line</w:t>
      </w:r>
    </w:p>
    <w:p>
      <w:pPr>
        <w:keepNext/>
        <w:spacing w:before="240" w:after="80"/>
      </w:pPr>
      <w:r>
        <w:rPr>
          <w:rFonts w:ascii="Arial" w:hAnsi="Arial"/>
          <w:b/>
          <w:color w:val="806316"/>
          <w:sz w:val="24"/>
        </w:rPr>
        <w:t>D. Độ biến động lịch sử cuốn chiếu (Volatility 20 phiên)</w:t>
      </w:r>
    </w:p>
    <w:p>
      <w:pPr>
        <w:spacing w:before="0" w:after="120" w:line="276" w:lineRule="auto"/>
        <w:jc w:val="left"/>
      </w:pPr>
      <w:r>
        <w:rPr>
          <w:rFonts w:ascii="Arial" w:hAnsi="Arial"/>
          <w:b w:val="0"/>
          <w:i w:val="0"/>
          <w:color w:val="333333"/>
          <w:sz w:val="21"/>
        </w:rPr>
        <w:t>Độ biến động lịch sử đại diện cho biên độ dao động trung bình hàng ngày của thị trường để hỗ trợ mô hình nhận biết trạng thái bùng nổ xu hướng:</w:t>
      </w:r>
    </w:p>
    <w:p>
      <w:pPr>
        <w:pStyle w:val="ListBullet"/>
        <w:spacing w:before="0" w:after="60"/>
      </w:pPr>
      <w:r>
        <w:rPr>
          <w:rFonts w:ascii="Arial" w:hAnsi="Arial"/>
          <w:color w:val="333333"/>
          <w:sz w:val="21"/>
        </w:rPr>
        <w:t>Tỷ suất sinh lời hàng ngày: R_t = (Close_t - Close_{t-1}) / Close_{t-1}</w:t>
      </w:r>
    </w:p>
    <w:p>
      <w:pPr>
        <w:pStyle w:val="ListBullet"/>
        <w:spacing w:before="0" w:after="60"/>
      </w:pPr>
      <w:r>
        <w:rPr>
          <w:rFonts w:ascii="Arial" w:hAnsi="Arial"/>
          <w:color w:val="333333"/>
          <w:sz w:val="21"/>
        </w:rPr>
        <w:t>Độ biến động Volatility = Độ lệch chuẩn (Standard Deviation) cuốn chiếu 20 ngày của chuỗi tỷ suất sinh lời R_t nhân với 100 để quy đổi sang tỷ lệ phần trăm (%).</w:t>
      </w:r>
    </w:p>
    <w:p>
      <w:pPr>
        <w:keepNext/>
        <w:spacing w:before="360" w:after="120"/>
      </w:pPr>
      <w:r>
        <w:rPr>
          <w:rFonts w:ascii="Arial" w:hAnsi="Arial"/>
          <w:b/>
          <w:color w:val="0B0F19"/>
          <w:sz w:val="30"/>
        </w:rPr>
        <w:t>3. Thẩm định mô hình học máy XGBoost Classifier</w:t>
      </w:r>
    </w:p>
    <w:p>
      <w:pPr>
        <w:spacing w:before="0" w:after="120" w:line="276" w:lineRule="auto"/>
        <w:jc w:val="left"/>
      </w:pPr>
      <w:r>
        <w:rPr>
          <w:rFonts w:ascii="Arial" w:hAnsi="Arial"/>
          <w:b w:val="0"/>
          <w:i w:val="0"/>
          <w:color w:val="333333"/>
          <w:sz w:val="21"/>
        </w:rPr>
        <w:t>Để đảm bảo tính xác thực cao nhất cho mô hình học máy, toàn bộ dữ liệu lịch sử được xử lý thông qua tệp 'predict_gold.py':</w:t>
      </w:r>
    </w:p>
    <w:p>
      <w:pPr>
        <w:keepNext/>
        <w:spacing w:before="240" w:after="80"/>
      </w:pPr>
      <w:r>
        <w:rPr>
          <w:rFonts w:ascii="Arial" w:hAnsi="Arial"/>
          <w:b/>
          <w:color w:val="806316"/>
          <w:sz w:val="24"/>
        </w:rPr>
        <w:t>A. Chống rò rỉ dữ liệu (Look-Ahead Bias)</w:t>
      </w:r>
    </w:p>
    <w:p>
      <w:pPr>
        <w:spacing w:before="0" w:after="120" w:line="276" w:lineRule="auto"/>
        <w:jc w:val="left"/>
      </w:pPr>
      <w:r>
        <w:rPr>
          <w:rFonts w:ascii="Arial" w:hAnsi="Arial"/>
          <w:b w:val="0"/>
          <w:i w:val="0"/>
          <w:color w:val="333333"/>
          <w:sz w:val="21"/>
        </w:rPr>
        <w:t>Việc sử dụng phương thức chia ngẫu nhiên (Random Shuffle) trong tập dữ liệu chuỗi thời gian tài chính sẽ gây rò rỉ dữ liệu nghiêm trọng, tạo ra độ chính xác ảo. Do đó, GoldXQuant áp dụng phân chia theo Trình tự thời gian (Chronological Split):</w:t>
      </w:r>
    </w:p>
    <w:p>
      <w:pPr>
        <w:pStyle w:val="ListBullet"/>
        <w:spacing w:before="0" w:after="60"/>
      </w:pPr>
      <w:r>
        <w:rPr>
          <w:rFonts w:ascii="Arial" w:hAnsi="Arial"/>
          <w:color w:val="333333"/>
          <w:sz w:val="21"/>
        </w:rPr>
        <w:t>Tổng số mẫu lịch sử: 2.788 phiên giao dịch.</w:t>
      </w:r>
    </w:p>
    <w:p>
      <w:pPr>
        <w:pStyle w:val="ListBullet"/>
        <w:spacing w:before="0" w:after="60"/>
      </w:pPr>
      <w:r>
        <w:rPr>
          <w:rFonts w:ascii="Arial" w:hAnsi="Arial"/>
          <w:color w:val="333333"/>
          <w:sz w:val="21"/>
        </w:rPr>
        <w:t>Tập huấn luyện (70% - Train): 1.951 phiên đầu tiên (từ 13/03/2015 đến 30/09/2022).</w:t>
      </w:r>
    </w:p>
    <w:p>
      <w:pPr>
        <w:pStyle w:val="ListBullet"/>
        <w:spacing w:before="0" w:after="60"/>
      </w:pPr>
      <w:r>
        <w:rPr>
          <w:rFonts w:ascii="Arial" w:hAnsi="Arial"/>
          <w:color w:val="333333"/>
          <w:sz w:val="21"/>
        </w:rPr>
        <w:t>Tập kiểm thử (30% - Test): 837 phiên sau cùng (từ 03/10/2022 đến 30/12/2025).</w:t>
      </w:r>
    </w:p>
    <w:p>
      <w:pPr>
        <w:keepNext/>
        <w:spacing w:before="240" w:after="80"/>
      </w:pPr>
      <w:r>
        <w:rPr>
          <w:rFonts w:ascii="Arial" w:hAnsi="Arial"/>
          <w:b/>
          <w:color w:val="806316"/>
          <w:sz w:val="24"/>
        </w:rPr>
        <w:t>B. Đánh giá hiệu suất trên tập kiểm thử độc lập (Out-of-sample)</w:t>
      </w:r>
    </w:p>
    <w:p>
      <w:pPr>
        <w:spacing w:before="0" w:after="120" w:line="276" w:lineRule="auto"/>
        <w:jc w:val="left"/>
      </w:pPr>
      <w:r>
        <w:rPr>
          <w:rFonts w:ascii="Arial" w:hAnsi="Arial"/>
          <w:b w:val="0"/>
          <w:i w:val="0"/>
          <w:color w:val="333333"/>
          <w:sz w:val="21"/>
        </w:rPr>
        <w:t>Kết quả huấn luyện và đánh giá trên tập Test đạt các chỉ số thực tế sau:</w:t>
      </w:r>
    </w:p>
    <w:p>
      <w:pPr>
        <w:pStyle w:val="ListBullet"/>
        <w:spacing w:before="0" w:after="60"/>
      </w:pPr>
      <w:r>
        <w:rPr>
          <w:rFonts w:ascii="Arial" w:hAnsi="Arial"/>
          <w:color w:val="333333"/>
          <w:sz w:val="21"/>
        </w:rPr>
        <w:t>Độ chính xác dự báo hướng đi ngày mai (Accuracy): 48.39%</w:t>
      </w:r>
    </w:p>
    <w:p>
      <w:pPr>
        <w:pStyle w:val="ListBullet"/>
        <w:spacing w:before="0" w:after="60"/>
      </w:pPr>
      <w:r>
        <w:rPr>
          <w:rFonts w:ascii="Arial" w:hAnsi="Arial"/>
          <w:color w:val="333333"/>
          <w:sz w:val="21"/>
        </w:rPr>
        <w:t>Khả năng phân định Tăng/Giảm (ROC AUC): 0.4914</w:t>
      </w:r>
    </w:p>
    <w:p>
      <w:pPr>
        <w:spacing w:before="0" w:after="120" w:line="276" w:lineRule="auto"/>
        <w:jc w:val="left"/>
      </w:pPr>
      <w:r>
        <w:rPr>
          <w:rFonts w:ascii="Arial" w:hAnsi="Arial"/>
          <w:b w:val="0"/>
          <w:i w:val="0"/>
          <w:color w:val="333333"/>
          <w:sz w:val="21"/>
        </w:rPr>
        <w:t>Đây là chỉ số hiệu suất hoàn toàn trung thực, phản ánh đúng tính chất phức tạp của việc dự báo thô hàng ngày của thị trường, cam kết loại bỏ hoàn toàn các lỗi Overfitting ảo thường thấy ở các mô hình không chuẩn hóa.</w:t>
      </w:r>
    </w:p>
    <w:p>
      <w:pPr>
        <w:keepNext/>
        <w:spacing w:before="240" w:after="80"/>
      </w:pPr>
      <w:r>
        <w:rPr>
          <w:rFonts w:ascii="Arial" w:hAnsi="Arial"/>
          <w:b/>
          <w:color w:val="806316"/>
          <w:sz w:val="24"/>
        </w:rPr>
        <w:t>C. Kết quả dự báo xu hướng phiên giao dịch tiếp theo (Sau 30/12/2025)</w:t>
      </w:r>
    </w:p>
    <w:p>
      <w:pPr>
        <w:pStyle w:val="ListBullet"/>
        <w:spacing w:before="0" w:after="60"/>
      </w:pPr>
      <w:r>
        <w:rPr>
          <w:rFonts w:ascii="Arial" w:hAnsi="Arial"/>
          <w:color w:val="333333"/>
          <w:sz w:val="21"/>
        </w:rPr>
        <w:t>Mô hình đầu vào (Chỉ số ngày 30/12/2025): Close = 4339.12, RSI = 54.88%, MACD = 75.1787, Volatility = 1.2745%</w:t>
      </w:r>
    </w:p>
    <w:p>
      <w:pPr>
        <w:pStyle w:val="ListBullet"/>
        <w:spacing w:before="0" w:after="60"/>
      </w:pPr>
      <w:r>
        <w:rPr>
          <w:rFonts w:ascii="Arial" w:hAnsi="Arial"/>
          <w:color w:val="333333"/>
          <w:sz w:val="21"/>
        </w:rPr>
        <w:t>Xu hướng dự đoán: GIẢM (DECREASE)</w:t>
      </w:r>
    </w:p>
    <w:p>
      <w:pPr>
        <w:pStyle w:val="ListBullet"/>
        <w:spacing w:before="0" w:after="60"/>
      </w:pPr>
      <w:r>
        <w:rPr>
          <w:rFonts w:ascii="Arial" w:hAnsi="Arial"/>
          <w:color w:val="333333"/>
          <w:sz w:val="21"/>
        </w:rPr>
        <w:t>Xác suất Giảm: 58.16% | Xác suất Tăng: 41.84%</w:t>
      </w:r>
    </w:p>
    <w:p>
      <w:pPr>
        <w:keepNext/>
        <w:spacing w:before="240" w:after="80"/>
      </w:pPr>
      <w:r>
        <w:rPr>
          <w:rFonts w:ascii="Arial" w:hAnsi="Arial"/>
          <w:b/>
          <w:color w:val="806316"/>
          <w:sz w:val="24"/>
        </w:rPr>
        <w:t>D. Cơ chế ra quyết định của XGBoost (Tăng khi nào, Giảm khi nào?)</w:t>
      </w:r>
    </w:p>
    <w:p>
      <w:pPr>
        <w:spacing w:before="0" w:after="120" w:line="276" w:lineRule="auto"/>
        <w:jc w:val="left"/>
      </w:pPr>
      <w:r>
        <w:rPr>
          <w:rFonts w:ascii="Arial" w:hAnsi="Arial"/>
          <w:b w:val="0"/>
          <w:i w:val="0"/>
          <w:color w:val="333333"/>
          <w:sz w:val="21"/>
        </w:rPr>
        <w:t>Mô hình XGBoost Classifier tự học các quy luật phân nhánh phức tạp từ lịch sử 1.951 ngày giao dịch để ra quyết định dự báo:</w:t>
      </w:r>
    </w:p>
    <w:p>
      <w:pPr>
        <w:pStyle w:val="ListBullet"/>
        <w:spacing w:before="0" w:after="60"/>
      </w:pPr>
      <w:r>
        <w:rPr>
          <w:rFonts w:ascii="Arial" w:hAnsi="Arial"/>
          <w:color w:val="333333"/>
          <w:sz w:val="21"/>
        </w:rPr>
        <w:t>Các đường Moving Average (MA10, MA30, MA50): Giá nằm trên các đường MA, đặc biệt xếp chồng Close &gt; MA10 &gt; MA30 &gt; MA50 thể hiện xu hướng TĂNG mạnh. Ngược lại, giá nằm dưới MA ngắn hạn và MA ngắn hạn cắt xuống MA dài hạn (Death Cross) báo hiệu xu hướng GIẢM.</w:t>
      </w:r>
    </w:p>
    <w:p>
      <w:pPr>
        <w:pStyle w:val="ListBullet"/>
        <w:spacing w:before="0" w:after="60"/>
      </w:pPr>
      <w:r>
        <w:rPr>
          <w:rFonts w:ascii="Arial" w:hAnsi="Arial"/>
          <w:color w:val="333333"/>
          <w:sz w:val="21"/>
        </w:rPr>
        <w:t>Chỉ số RSI14: Khi RSI thoát khỏi vùng quá bán (RSI &lt; 30) cắt lên hoặc đang hướng mạnh lên 70 thể hiện xu hướng TĂNG. Khi RSI cắt xuống từ vùng quá mua (RSI &gt; 70) thể hiện áp lực chốt lời đảo chiều GIẢM.</w:t>
      </w:r>
    </w:p>
    <w:p>
      <w:pPr>
        <w:pStyle w:val="ListBullet"/>
        <w:spacing w:before="0" w:after="60"/>
      </w:pPr>
      <w:r>
        <w:rPr>
          <w:rFonts w:ascii="Arial" w:hAnsi="Arial"/>
          <w:color w:val="333333"/>
          <w:sz w:val="21"/>
        </w:rPr>
        <w:t>MACD &amp; MACD Histogram: Khi đường MACD cắt từ dưới lên đường Signal (Histogram chuyển sang dương) báo hiệu lực Mua mạnh (TĂNG). Khi MACD cắt xuống đường Signal (Histogram chuyển sang âm) báo hiệu đà bán tháo áp đảo (GIẢM).</w:t>
      </w:r>
    </w:p>
    <w:p>
      <w:pPr>
        <w:pStyle w:val="ListBullet"/>
        <w:spacing w:before="0" w:after="60"/>
      </w:pPr>
      <w:r>
        <w:rPr>
          <w:rFonts w:ascii="Arial" w:hAnsi="Arial"/>
          <w:color w:val="333333"/>
          <w:sz w:val="21"/>
        </w:rPr>
        <w:t>Độ biến động lịch sử (Volatility): Khi độ biến động tích lũy thấp rồi bùng nổ tăng vọt kết hợp RSI &gt; 60 và MACD &gt; 0, XGBoost dự báo TĂNG mạnh. Nếu biến động tăng vọt trong khi RSI &lt; 40 và giá dưới MA50, mô hình dự báo GIẢM sâu.</w:t>
      </w:r>
    </w:p>
    <w:p>
      <w:pPr>
        <w:keepNext/>
        <w:spacing w:before="240" w:after="80"/>
      </w:pPr>
      <w:r>
        <w:rPr>
          <w:rFonts w:ascii="Arial" w:hAnsi="Arial"/>
          <w:b/>
          <w:color w:val="806316"/>
          <w:sz w:val="24"/>
        </w:rPr>
        <w:t>E. Giải thích ý nghĩa thuật ngữ 'Volume HĐ'</w:t>
      </w:r>
    </w:p>
    <w:p>
      <w:pPr>
        <w:spacing w:before="0" w:after="120" w:line="276" w:lineRule="auto"/>
        <w:jc w:val="left"/>
      </w:pPr>
      <w:r>
        <w:rPr>
          <w:rFonts w:ascii="Arial" w:hAnsi="Arial"/>
          <w:b w:val="0"/>
          <w:i w:val="0"/>
          <w:color w:val="333333"/>
          <w:sz w:val="21"/>
        </w:rPr>
        <w:t>Thuật ngữ 'Volume HĐ' (ví dụ: 100,256 HĐ) thể hiện đơn vị đo lường khối lượng giao dịch chuẩn quốc tế:</w:t>
      </w:r>
    </w:p>
    <w:p>
      <w:pPr>
        <w:pStyle w:val="ListBullet"/>
        <w:spacing w:before="0" w:after="60"/>
      </w:pPr>
      <w:r>
        <w:rPr>
          <w:rFonts w:ascii="Arial" w:hAnsi="Arial"/>
          <w:color w:val="333333"/>
          <w:sz w:val="21"/>
        </w:rPr>
        <w:t>Viết tắt của Hợp đồng tương lai (Futures Contracts): Trên các sàn giao dịch lớn thế giới như sàn COMEX của New York, vàng được giao dịch thông qua các hợp đồng chuẩn phái sinh thay vì ounce vật chất thô trên bảng điện tử.</w:t>
      </w:r>
    </w:p>
    <w:p>
      <w:pPr>
        <w:pStyle w:val="ListBullet"/>
        <w:spacing w:before="0" w:after="60"/>
      </w:pPr>
      <w:r>
        <w:rPr>
          <w:rFonts w:ascii="Arial" w:hAnsi="Arial"/>
          <w:color w:val="333333"/>
          <w:sz w:val="21"/>
        </w:rPr>
        <w:t>Kích thước hợp đồng tiêu chuẩn: 1 Hợp đồng tương lai vàng đại diện cho 100 Ounce vàng vật chất.</w:t>
      </w:r>
    </w:p>
    <w:p>
      <w:pPr>
        <w:pStyle w:val="ListBullet"/>
        <w:spacing w:before="0" w:after="60"/>
      </w:pPr>
      <w:r>
        <w:rPr>
          <w:rFonts w:ascii="Arial" w:hAnsi="Arial"/>
          <w:color w:val="333333"/>
          <w:sz w:val="21"/>
        </w:rPr>
        <w:t>Cách tính: Khi Volume ghi nhận 100,256 HĐ trong phiên, điều này tương đương với 10,025,600 Ounce vàng được khớp lệnh mua bán.</w:t>
      </w:r>
    </w:p>
    <w:p>
      <w:pPr>
        <w:pStyle w:val="ListBullet"/>
        <w:spacing w:before="0" w:after="60"/>
      </w:pPr>
      <w:r>
        <w:rPr>
          <w:rFonts w:ascii="Arial" w:hAnsi="Arial"/>
          <w:color w:val="333333"/>
          <w:sz w:val="21"/>
        </w:rPr>
        <w:t>Định dạng dấu phẩy: Việc hiển thị định dạng số phân tách hàng nghìn (100,256 HĐ) giúp phân biệt rõ ràng đây là số lượng hợp đồng, loại bỏ hoàn toàn sự nhầm lẫn với dấu chấm (.) thập phân của người xem.</w:t>
      </w:r>
    </w:p>
    <w:p>
      <w:pPr>
        <w:keepNext/>
        <w:spacing w:before="360" w:after="120"/>
      </w:pPr>
      <w:r>
        <w:rPr>
          <w:rFonts w:ascii="Arial" w:hAnsi="Arial"/>
          <w:b/>
          <w:color w:val="0B0F19"/>
          <w:sz w:val="30"/>
        </w:rPr>
        <w:t>4. Trợ lý AI phân tích ngôn ngữ tự nhiên không dấu (NLP)</w:t>
      </w:r>
    </w:p>
    <w:p>
      <w:pPr>
        <w:spacing w:before="0" w:after="120" w:line="276" w:lineRule="auto"/>
        <w:jc w:val="left"/>
      </w:pPr>
      <w:r>
        <w:rPr>
          <w:rFonts w:ascii="Arial" w:hAnsi="Arial"/>
          <w:b w:val="0"/>
          <w:i w:val="0"/>
          <w:color w:val="333333"/>
          <w:sz w:val="21"/>
        </w:rPr>
        <w:t>Hệ thống tích hợp bộ xử lý NLP chuẩn hóa không dấu tiếng Việt (Accent-Insensitive) giúp cải thiện tối đa trải nghiệm người dùng:</w:t>
      </w:r>
    </w:p>
    <w:p>
      <w:pPr>
        <w:pStyle w:val="ListBullet"/>
        <w:spacing w:before="0" w:after="60"/>
      </w:pPr>
      <w:r>
        <w:rPr>
          <w:rFonts w:ascii="Arial" w:hAnsi="Arial"/>
          <w:color w:val="333333"/>
          <w:sz w:val="21"/>
        </w:rPr>
        <w:t>Bộ chuẩn hóa tự động làm sạch và chuyển hóa văn bản đầu vào của người dùng thành chữ thường không dấu thông qua từ điển ánh xạ ký tự tiếng Việt.</w:t>
      </w:r>
    </w:p>
    <w:p>
      <w:pPr>
        <w:pStyle w:val="ListBullet"/>
        <w:spacing w:before="0" w:after="60"/>
      </w:pPr>
      <w:r>
        <w:rPr>
          <w:rFonts w:ascii="Arial" w:hAnsi="Arial"/>
          <w:color w:val="333333"/>
          <w:sz w:val="21"/>
        </w:rPr>
        <w:t>Các từ khóa kỹ thuật (như 'rsi', 'bien dong', 'khoi luong') và toán tử so sánh (như 'lon hon', 'nho hon', '&gt;', '&lt;') được Regex trích xuất độc lập.</w:t>
      </w:r>
    </w:p>
    <w:p>
      <w:pPr>
        <w:pStyle w:val="ListBullet"/>
        <w:spacing w:before="0" w:after="60"/>
      </w:pPr>
      <w:r>
        <w:rPr>
          <w:rFonts w:ascii="Arial" w:hAnsi="Arial"/>
          <w:color w:val="333333"/>
          <w:sz w:val="21"/>
        </w:rPr>
        <w:t>Biên dịch an toàn sang câu lệnh SQL trên Backend máy chủ, thực thi trực tiếp trên cơ sở dữ liệu và bảo mật tuyệt đối các lệnh SQL trước trình duyệt.</w:t>
      </w:r>
    </w:p>
    <w:p>
      <w:pPr>
        <w:pStyle w:val="ListBullet"/>
        <w:spacing w:before="0" w:after="60"/>
      </w:pPr>
      <w:r>
        <w:rPr>
          <w:rFonts w:ascii="Arial" w:hAnsi="Arial"/>
          <w:color w:val="333333"/>
          <w:sz w:val="21"/>
        </w:rPr>
        <w:t>Giải pháp hiển thị Volume: Định dạng phân tách dấu phẩy hàng nghìn chuẩn quốc tế (100,256) và đính kèm đơn vị 'HĐ' (Hợp đồng) để tránh hoàn toàn sự nhầm lẫn với dấu chấm (.) thập phân.</w:t>
      </w:r>
    </w:p>
    <w:p>
      <w:pPr>
        <w:keepNext/>
        <w:spacing w:before="360" w:after="120"/>
      </w:pPr>
      <w:r>
        <w:rPr>
          <w:rFonts w:ascii="Arial" w:hAnsi="Arial"/>
          <w:b/>
          <w:color w:val="0B0F19"/>
          <w:sz w:val="30"/>
        </w:rPr>
        <w:t>5. Hướng dẫn quy trình vận hành toàn diện (Workflow)</w:t>
      </w:r>
    </w:p>
    <w:p>
      <w:pPr>
        <w:spacing w:before="0" w:after="120" w:line="276" w:lineRule="auto"/>
        <w:jc w:val="left"/>
      </w:pPr>
      <w:r>
        <w:rPr>
          <w:rFonts w:ascii="Arial" w:hAnsi="Arial"/>
          <w:b w:val="0"/>
          <w:i w:val="0"/>
          <w:color w:val="333333"/>
          <w:sz w:val="21"/>
        </w:rPr>
        <w:t>Để vận hành trơn tru toàn bộ hệ thống GoldXQuant Hub, vui lòng tuân thủ quy trình các bước sau:</w:t>
      </w:r>
    </w:p>
    <w:p>
      <w:pPr>
        <w:pStyle w:val="ListBullet"/>
        <w:spacing w:before="0" w:after="60"/>
      </w:pPr>
      <w:r>
        <w:rPr>
          <w:rFonts w:ascii="Arial" w:hAnsi="Arial"/>
          <w:color w:val="333333"/>
          <w:sz w:val="21"/>
        </w:rPr>
        <w:t>Bước 1: Chạy 'python calculate_indicators.py' để cập nhật toàn bộ các chỉ số toán học mới nhất vào bảng 'gold_analytics' của cơ sở dữ liệu.</w:t>
      </w:r>
    </w:p>
    <w:p>
      <w:pPr>
        <w:pStyle w:val="ListBullet"/>
        <w:spacing w:before="0" w:after="60"/>
      </w:pPr>
      <w:r>
        <w:rPr>
          <w:rFonts w:ascii="Arial" w:hAnsi="Arial"/>
          <w:color w:val="333333"/>
          <w:sz w:val="21"/>
        </w:rPr>
        <w:t>Bước 2: Khởi chạy máy chủ backend bằng câu lệnh 'python server.py'. Hệ thống sẽ tự động nạp dữ liệu và huấn luyện mô hình XGBoost trong bộ nhớ (In-memory) trước khi lắng nghe tại cổng 8000.</w:t>
      </w:r>
    </w:p>
    <w:p>
      <w:pPr>
        <w:pStyle w:val="ListBullet"/>
        <w:spacing w:before="0" w:after="60"/>
      </w:pPr>
      <w:r>
        <w:rPr>
          <w:rFonts w:ascii="Arial" w:hAnsi="Arial"/>
          <w:color w:val="333333"/>
          <w:sz w:val="21"/>
        </w:rPr>
        <w:t>Bước 3: Mở trình duyệt web truy cập địa chỉ 'http://localhost:8000' để theo dõi biểu đồ xu hướng Chart.js, phân trang bảng dữ liệu lịch sử, dự báo xu hướng XGBoost cho ngày được chọn, và nhập câu hỏi tự nhiên tại AI Smart Workspace.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