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HỌC VIỆN CÔNG NGHỆ BƯU CHÍNH VIỄN THÔNG</w:t>
      </w:r>
    </w:p>
    <w:p>
      <w:pPr>
        <w:spacing w:after="900"/>
        <w:jc w:val="center"/>
      </w:pPr>
      <w:r>
        <w:rPr>
          <w:rFonts w:ascii="Times New Roman" w:cs="Times New Roman" w:eastAsia="Times New Roman" w:hAnsi="Times New Roman"/>
          <w:color w:val="000000"/>
          <w:sz w:val="23"/>
          <w:szCs w:val="23"/>
        </w:rPr>
        <w:t>KHOA CÔNG NGHỆ TÀI CHÍNH</w:t>
      </w:r>
    </w:p>
    <w:p>
      <w:pPr>
        <w:spacing w:after="160"/>
        <w:jc w:val="center"/>
      </w:pPr>
      <w:r>
        <w:rPr>
          <w:rFonts w:ascii="Times New Roman" w:cs="Times New Roman" w:eastAsia="Times New Roman" w:hAnsi="Times New Roman"/>
          <w:b/>
          <w:bCs/>
          <w:color w:val="1F3864"/>
          <w:sz w:val="34"/>
          <w:szCs w:val="34"/>
        </w:rPr>
        <w:t>BÁO CÁO NGHIÊN CỨU ĐỊNH LƯỢNG</w:t>
      </w:r>
    </w:p>
    <w:p>
      <w:pPr>
        <w:spacing w:after="60"/>
        <w:jc w:val="center"/>
      </w:pPr>
      <w:r>
        <w:rPr>
          <w:rFonts w:ascii="Times New Roman" w:cs="Times New Roman" w:eastAsia="Times New Roman" w:hAnsi="Times New Roman"/>
          <w:b/>
          <w:bCs/>
          <w:color w:val="1F3864"/>
          <w:sz w:val="27"/>
          <w:szCs w:val="27"/>
        </w:rPr>
        <w:t>SO SÁNH CHIẾN LƯỢC GIAO DỊCH VÀNG DỰA TRÊN</w:t>
      </w:r>
    </w:p>
    <w:p>
      <w:pPr>
        <w:spacing w:after="400"/>
        <w:jc w:val="center"/>
      </w:pPr>
      <w:r>
        <w:rPr>
          <w:rFonts w:ascii="Times New Roman" w:cs="Times New Roman" w:eastAsia="Times New Roman" w:hAnsi="Times New Roman"/>
          <w:b/>
          <w:bCs/>
          <w:color w:val="1F3864"/>
          <w:sz w:val="27"/>
          <w:szCs w:val="27"/>
        </w:rPr>
        <w:t>PHÂN TÍCH KỸ THUẬT VÀ MÔ HÌNH XGBOOST (XAU/USD)</w:t>
      </w:r>
    </w:p>
    <w:p>
      <w:pPr>
        <w:spacing w:after="40"/>
        <w:jc w:val="center"/>
      </w:pPr>
      <w:r>
        <w:rPr>
          <w:rFonts w:ascii="Times New Roman" w:cs="Times New Roman" w:eastAsia="Times New Roman" w:hAnsi="Times New Roman"/>
          <w:color w:val="000000"/>
          <w:sz w:val="22"/>
          <w:szCs w:val="22"/>
        </w:rPr>
        <w:t>Dữ liệu Dukascopy 2015 – 2025, làm sạch và chuẩn hóa thời gian theo UTC;</w:t>
      </w:r>
    </w:p>
    <w:p>
      <w:pPr>
        <w:spacing w:after="40"/>
        <w:jc w:val="center"/>
      </w:pPr>
      <w:r>
        <w:rPr>
          <w:rFonts w:ascii="Times New Roman" w:cs="Times New Roman" w:eastAsia="Times New Roman" w:hAnsi="Times New Roman"/>
          <w:color w:val="000000"/>
          <w:sz w:val="22"/>
          <w:szCs w:val="22"/>
        </w:rPr>
        <w:t>gán nhãn ba trạng thái bằng phương pháp ba rào cản theo phần trăm giá;</w:t>
      </w:r>
    </w:p>
    <w:p>
      <w:pPr>
        <w:spacing w:after="40"/>
        <w:jc w:val="center"/>
      </w:pPr>
      <w:r>
        <w:rPr>
          <w:rFonts w:ascii="Times New Roman" w:cs="Times New Roman" w:eastAsia="Times New Roman" w:hAnsi="Times New Roman"/>
          <w:color w:val="000000"/>
          <w:sz w:val="22"/>
          <w:szCs w:val="22"/>
        </w:rPr>
        <w:t>kiểm định cuốn chiếu (walk-forward) sáu năm 2020 – 2025 có thanh lọc;</w:t>
      </w:r>
    </w:p>
    <w:p>
      <w:pPr>
        <w:spacing w:after="700"/>
        <w:jc w:val="center"/>
      </w:pPr>
      <w:r>
        <w:rPr>
          <w:rFonts w:ascii="Times New Roman" w:cs="Times New Roman" w:eastAsia="Times New Roman" w:hAnsi="Times New Roman"/>
          <w:color w:val="000000"/>
          <w:sz w:val="22"/>
          <w:szCs w:val="22"/>
        </w:rPr>
        <w:t>chín chiến lược giao dịch × năm nguồn dự báo trên công cụ mô phỏng kiểu MetaTrader 5</w:t>
      </w:r>
    </w:p>
    <w:p>
      <w:pPr>
        <w:spacing w:after="50"/>
        <w:jc w:val="center"/>
      </w:pPr>
      <w:r>
        <w:rPr>
          <w:rFonts w:ascii="Times New Roman" w:cs="Times New Roman" w:eastAsia="Times New Roman" w:hAnsi="Times New Roman"/>
          <w:b/>
          <w:bCs/>
          <w:color w:val="000000"/>
          <w:sz w:val="22"/>
          <w:szCs w:val="22"/>
        </w:rPr>
        <w:t>PHẦN I — QUY TRÌNH NGHIÊN CỨU VÀ PHƯƠNG PHÁP</w:t>
      </w:r>
    </w:p>
    <w:p>
      <w:pPr>
        <w:spacing w:after="700"/>
        <w:jc w:val="center"/>
      </w:pPr>
      <w:r>
        <w:rPr>
          <w:rFonts w:ascii="Times New Roman" w:cs="Times New Roman" w:eastAsia="Times New Roman" w:hAnsi="Times New Roman"/>
          <w:b/>
          <w:bCs/>
          <w:color w:val="000000"/>
          <w:sz w:val="22"/>
          <w:szCs w:val="22"/>
        </w:rPr>
        <w:t>PHẦN II — KẾT QUẢ THỰC NGHIỆM VÀ KIỂM ĐỊNH</w:t>
      </w:r>
    </w:p>
    <w:p>
      <w:pPr>
        <w:spacing w:after="120"/>
        <w:jc w:val="center"/>
      </w:pPr>
      <w:r>
        <w:rPr>
          <w:rFonts w:ascii="Times New Roman" w:cs="Times New Roman" w:eastAsia="Times New Roman" w:hAnsi="Times New Roman"/>
          <w:color w:val="000000"/>
          <w:sz w:val="23"/>
          <w:szCs w:val="23"/>
        </w:rPr>
        <w:t>Hà Nội, tháng 9 năm 2026</w:t>
      </w:r>
    </w:p>
    <w:p>
      <w:r>
        <w:br w:type="page"/>
      </w:r>
    </w:p>
    <w:p>
      <w:pPr>
        <w:pStyle w:val="Heading1"/>
        <w:spacing w:after="200" w:before="240"/>
      </w:pPr>
      <w:r>
        <w:rPr>
          <w:rFonts w:ascii="Times New Roman" w:cs="Times New Roman" w:eastAsia="Times New Roman" w:hAnsi="Times New Roman"/>
          <w:b/>
          <w:bCs/>
          <w:color w:val="1F3864"/>
          <w:sz w:val="30"/>
          <w:szCs w:val="30"/>
        </w:rPr>
        <w:t>THÔNG TIN TỔNG QUAN ĐỀ TÀI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Chủ đề nghiên cứu</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Tài chính định lượng và học máy ứng dụng</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Tài sản nghiên cứu</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XAU/USD (vàng giao ngay) — giá Bid, đơn vị USD/oz</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Nguồn dữ liệu</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Dukascopy datafeed: nến M1 gộp lên M30, H1, H4, D1 — time + OHLCV, giờ UTC</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Giai đoạn dữ liệu</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01/01/2015 – 31/12/2025; kiểm tra ngoài mẫu 01/2020 – 12/2025</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Khung thực nghiệm chính</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H1 — 65.125 nến sau làm sạch; giai đoạn backtest 35.481 nến</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Nguồn dự báo so sánh</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4 luật kỹ thuật (MA, RSI, MACD, tổng hợp TH) · XGBoost</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Phương pháp gán nhãn</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Triple Barrier theo phần trăm giá, ba trạng thái: Uptrend / Sideway / Downtrend</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Khung kiểm định</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Walk-forward mở rộng dần, 6 năm kiểm tra, thanh lọc (purging) 24 nến</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Thiết kế backtest</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9 chiến lược × 5 nguồn = 45 kịch bản + mua-và-giữ + đối chứng ngẫu nhiên</w:t>
            </w:r>
          </w:p>
        </w:tc>
      </w:tr>
      <w:tr>
        <w:tc>
          <w:tcPr>
            <w:tcW w:type="dxa" w:w="2600"/>
            <w:shd w:fill="E7EDF6" w:color="auto" w:val="clear"/>
            <w:tcMar>
              <w:top w:type="dxa" w:w="80"/>
              <w:left w:type="dxa" w:w="100"/>
              <w:bottom w:type="dxa" w:w="80"/>
              <w:right w:type="dxa" w:w="100"/>
            </w:tcMar>
          </w:tcPr>
          <w:p>
            <w:r>
              <w:rPr>
                <w:rFonts w:ascii="Times New Roman" w:cs="Times New Roman" w:eastAsia="Times New Roman" w:hAnsi="Times New Roman"/>
                <w:b/>
                <w:bCs/>
                <w:sz w:val="21"/>
                <w:szCs w:val="21"/>
              </w:rPr>
              <w:t>Bộ chỉ tiêu</w:t>
            </w:r>
          </w:p>
        </w:tc>
        <w:tc>
          <w:tcPr>
            <w:tcW w:type="dxa" w:w="6760"/>
            <w:shd w:fill="FFFFFF" w:color="auto" w:val="clear"/>
            <w:tcMar>
              <w:top w:type="dxa" w:w="80"/>
              <w:left w:type="dxa" w:w="100"/>
              <w:bottom w:type="dxa" w:w="80"/>
              <w:right w:type="dxa" w:w="100"/>
            </w:tcMar>
          </w:tcPr>
          <w:p>
            <w:r>
              <w:rPr>
                <w:rFonts w:ascii="Times New Roman" w:cs="Times New Roman" w:eastAsia="Times New Roman" w:hAnsi="Times New Roman"/>
                <w:sz w:val="21"/>
                <w:szCs w:val="21"/>
              </w:rPr>
              <w:t>Net Profit, CAGR, Sharpe, Sortino, Max DD, Profit Factor, Win rate, Kỳ vọng R, số năm có lãi + Wilcoxon</w:t>
            </w:r>
          </w:p>
        </w:tc>
      </w:tr>
    </w:tbl>
    <w:p>
      <w:pPr>
        <w:spacing w:after="120"/>
      </w:pPr>
    </w:p>
    <w:p>
      <w:pPr>
        <w:pStyle w:val="Heading2"/>
        <w:spacing w:after="140" w:before="260"/>
      </w:pPr>
      <w:r>
        <w:rPr>
          <w:rFonts w:ascii="Times New Roman" w:cs="Times New Roman" w:eastAsia="Times New Roman" w:hAnsi="Times New Roman"/>
          <w:b/>
          <w:bCs/>
          <w:color w:val="2E5496"/>
          <w:sz w:val="25"/>
          <w:szCs w:val="25"/>
        </w:rPr>
        <w:t>TÓM TẮT ĐIỀU HÀNH</w:t>
      </w:r>
    </w:p>
    <w:p>
      <w:pPr>
        <w:spacing w:after="140" w:line="300"/>
        <w:jc w:val="both"/>
      </w:pPr>
      <w:r>
        <w:rPr>
          <w:rFonts w:ascii="Times New Roman" w:cs="Times New Roman" w:eastAsia="Times New Roman" w:hAnsi="Times New Roman"/>
          <w:sz w:val="22"/>
          <w:szCs w:val="22"/>
        </w:rPr>
        <w:t xml:space="preserve">Báo cáo trả lời một câu hỏi cụ thể: với cùng một cách giao dịch, dự báo xu hướng do mô hình </w:t>
      </w:r>
      <w:r>
        <w:rPr>
          <w:rFonts w:ascii="Times New Roman" w:cs="Times New Roman" w:eastAsia="Times New Roman" w:hAnsi="Times New Roman"/>
          <w:b/>
          <w:bCs/>
          <w:sz w:val="22"/>
          <w:szCs w:val="22"/>
        </w:rPr>
        <w:t>XGBoost</w:t>
      </w:r>
      <w:r>
        <w:rPr>
          <w:rFonts w:ascii="Times New Roman" w:cs="Times New Roman" w:eastAsia="Times New Roman" w:hAnsi="Times New Roman"/>
          <w:sz w:val="22"/>
          <w:szCs w:val="22"/>
        </w:rPr>
        <w:t xml:space="preserve"> đưa ra có tạo kết quả đầu tư tốt hơn dự báo của các luật </w:t>
      </w:r>
      <w:r>
        <w:rPr>
          <w:rFonts w:ascii="Times New Roman" w:cs="Times New Roman" w:eastAsia="Times New Roman" w:hAnsi="Times New Roman"/>
          <w:b/>
          <w:bCs/>
          <w:sz w:val="22"/>
          <w:szCs w:val="22"/>
        </w:rPr>
        <w:t>phân tích kỹ thuật</w:t>
      </w:r>
      <w:r>
        <w:rPr>
          <w:rFonts w:ascii="Times New Roman" w:cs="Times New Roman" w:eastAsia="Times New Roman" w:hAnsi="Times New Roman"/>
          <w:sz w:val="22"/>
          <w:szCs w:val="22"/>
        </w:rPr>
        <w:t xml:space="preserve"> hay không, và lợi thế đó có ổn định qua nhiều năm hay không. Để trả lời công bằng, nghiên cứu tách bạch hai tầng: tầng dự báo (NB1, NB2) chỉ đưa ra xu hướng uptrend – sideway – downtrend; tầng chiến lược (NB3) áp chín bộ luật giao dịch giống hệt nhau cho cả năm nguồn dự báo, trên cùng dữ liệu, cùng giai đoạn và cùng chi phí.</w:t>
      </w:r>
    </w:p>
    <w:p>
      <w:pPr>
        <w:spacing w:after="140" w:line="300"/>
        <w:jc w:val="both"/>
      </w:pPr>
      <w:r>
        <w:rPr>
          <w:rFonts w:ascii="Times New Roman" w:cs="Times New Roman" w:eastAsia="Times New Roman" w:hAnsi="Times New Roman"/>
          <w:sz w:val="22"/>
          <w:szCs w:val="22"/>
        </w:rPr>
        <w:t xml:space="preserve">Trên sáu năm kiểm tra ngoài mẫu 2020 – 2025, kịch bản có tỷ số Sharpe cao nhất là </w:t>
      </w:r>
      <w:r>
        <w:rPr>
          <w:rFonts w:ascii="Times New Roman" w:cs="Times New Roman" w:eastAsia="Times New Roman" w:hAnsi="Times New Roman"/>
          <w:b/>
          <w:bCs/>
          <w:sz w:val="22"/>
          <w:szCs w:val="22"/>
        </w:rPr>
        <w:t>S03-XGB</w:t>
      </w:r>
      <w:r>
        <w:rPr>
          <w:rFonts w:ascii="Times New Roman" w:cs="Times New Roman" w:eastAsia="Times New Roman" w:hAnsi="Times New Roman"/>
          <w:sz w:val="22"/>
          <w:szCs w:val="22"/>
        </w:rPr>
        <w:t xml:space="preserve"> (Position theo trend trên dự báo XGBoost): Sharpe 0,995, Max Drawdown chỉ 2,56%, có lãi cả 6 năm và vượt 98% số lần dự báo ngẫu nhiên. Xếp sau là S06-TH (Sharpe 0,910) và S13-MA (Sharpe 0,843). Luật MA cho lợi nhuận tuyệt đối cao nhất (CAGR tới 6,51%) nhưng phải chịu mức sụt giảm lớn hơn nhiều, và gần như toàn bộ lợi nhuận đến từ chiều mua trong một giai đoạn vàng tăng mạnh.</w:t>
      </w:r>
    </w:p>
    <w:p>
      <w:pPr>
        <w:spacing w:after="140" w:line="300"/>
        <w:jc w:val="both"/>
      </w:pPr>
      <w:r>
        <w:rPr>
          <w:rFonts w:ascii="Times New Roman" w:cs="Times New Roman" w:eastAsia="Times New Roman" w:hAnsi="Times New Roman"/>
          <w:sz w:val="22"/>
          <w:szCs w:val="22"/>
        </w:rPr>
        <w:t xml:space="preserve">Kiểm định Wilcoxon ghép cặp trên 9 chiến lược × 6 năm cho kết luận </w:t>
      </w:r>
      <w:r>
        <w:rPr>
          <w:rFonts w:ascii="Times New Roman" w:cs="Times New Roman" w:eastAsia="Times New Roman" w:hAnsi="Times New Roman"/>
          <w:b/>
          <w:bCs/>
          <w:sz w:val="22"/>
          <w:szCs w:val="22"/>
        </w:rPr>
        <w:t>có điều kiện</w:t>
      </w:r>
      <w:r>
        <w:rPr>
          <w:rFonts w:ascii="Times New Roman" w:cs="Times New Roman" w:eastAsia="Times New Roman" w:hAnsi="Times New Roman"/>
          <w:sz w:val="22"/>
          <w:szCs w:val="22"/>
        </w:rPr>
        <w:t>: XGBoost vượt RSI (p = 0,0092) và luật tổng hợp TH (p = 0,0368) về Sharpe từng năm; không khác biệt có ý nghĩa với MACD; và thua luật MA về lợi nhuận từng năm (p = 0,0353). Phép kiểm chứng ngược (S12 — đánh ngược dự báo) xác nhận dự báo của XGBoost và MA mang thông tin thật, trong khi đánh ngược RSI và MACD lại có lãi — tức hai luật này mang tính ngược xu hướng trên dữ liệu vàng giai đoạn này.</w:t>
      </w:r>
    </w:p>
    <w:p>
      <w:pPr>
        <w:spacing w:after="140" w:line="300"/>
        <w:jc w:val="both"/>
      </w:pPr>
      <w:r>
        <w:rPr>
          <w:rFonts w:ascii="Times New Roman" w:cs="Times New Roman" w:eastAsia="Times New Roman" w:hAnsi="Times New Roman"/>
          <w:sz w:val="22"/>
          <w:szCs w:val="22"/>
        </w:rPr>
        <w:t xml:space="preserve">Không kịch bản nào vượt được mua-và-giữ về lợi nhuận tuyệt đối (CAGR 24,90% với lot cố định 0,10), nhưng mua-và-giữ phải chịu Max Drawdown 29,23%. Chiến lược đánh vùng trong sideway (S09) thua lỗ nặng với mọi nguồn có dự báo sideway. Kết luận chung: lợi thế của XGBoost nằm ở </w:t>
      </w:r>
      <w:r>
        <w:rPr>
          <w:rFonts w:ascii="Times New Roman" w:cs="Times New Roman" w:eastAsia="Times New Roman" w:hAnsi="Times New Roman"/>
          <w:b/>
          <w:bCs/>
          <w:sz w:val="22"/>
          <w:szCs w:val="22"/>
        </w:rPr>
        <w:t>kiểm soát rủi ro và độ ổn định</w:t>
      </w:r>
      <w:r>
        <w:rPr>
          <w:rFonts w:ascii="Times New Roman" w:cs="Times New Roman" w:eastAsia="Times New Roman" w:hAnsi="Times New Roman"/>
          <w:sz w:val="22"/>
          <w:szCs w:val="22"/>
        </w:rPr>
        <w:t>, không nằm ở lợi nhuận thô; và lợi thế đó phụ thuộc vào luật kỹ thuật được đem ra so sánh.</w:t>
      </w:r>
    </w:p>
    <w:p>
      <w:r>
        <w:br w:type="page"/>
      </w:r>
    </w:p>
    <w:p>
      <w:pPr>
        <w:pStyle w:val="Heading1"/>
        <w:spacing w:after="200" w:before="240"/>
      </w:pPr>
      <w:r>
        <w:rPr>
          <w:rFonts w:ascii="Times New Roman" w:cs="Times New Roman" w:eastAsia="Times New Roman" w:hAnsi="Times New Roman"/>
          <w:b/>
          <w:bCs/>
          <w:color w:val="1F3864"/>
          <w:sz w:val="30"/>
          <w:szCs w:val="30"/>
        </w:rPr>
        <w:t>MỤC LỤC</w:t>
      </w:r>
    </w:p>
    <w:p>
      <w:pPr>
        <w:pStyle w:val="ListParagraph"/>
        <w:numPr>
          <w:ilvl w:val="0"/>
          <w:numId w:val="20"/>
        </w:numPr>
        <w:spacing w:after="90" w:line="290"/>
        <w:jc w:val="both"/>
      </w:pPr>
      <w:r>
        <w:rPr>
          <w:rFonts w:ascii="Times New Roman" w:cs="Times New Roman" w:eastAsia="Times New Roman" w:hAnsi="Times New Roman"/>
          <w:sz w:val="22"/>
          <w:szCs w:val="22"/>
        </w:rPr>
        <w:t>Chương 1. Tổng quan nghiên cứu, mục tiêu và hệ giả thuyết</w:t>
      </w:r>
    </w:p>
    <w:p>
      <w:pPr>
        <w:pStyle w:val="ListParagraph"/>
        <w:numPr>
          <w:ilvl w:val="0"/>
          <w:numId w:val="20"/>
        </w:numPr>
        <w:spacing w:after="90" w:line="290"/>
        <w:jc w:val="both"/>
      </w:pPr>
      <w:r>
        <w:rPr>
          <w:rFonts w:ascii="Times New Roman" w:cs="Times New Roman" w:eastAsia="Times New Roman" w:hAnsi="Times New Roman"/>
          <w:sz w:val="22"/>
          <w:szCs w:val="22"/>
        </w:rPr>
        <w:t>Chương 2. Quy trình nghiên cứu tổng thể</w:t>
      </w:r>
    </w:p>
    <w:p>
      <w:pPr>
        <w:pStyle w:val="ListParagraph"/>
        <w:numPr>
          <w:ilvl w:val="0"/>
          <w:numId w:val="20"/>
        </w:numPr>
        <w:spacing w:after="90" w:line="290"/>
        <w:jc w:val="both"/>
      </w:pPr>
      <w:r>
        <w:rPr>
          <w:rFonts w:ascii="Times New Roman" w:cs="Times New Roman" w:eastAsia="Times New Roman" w:hAnsi="Times New Roman"/>
          <w:sz w:val="22"/>
          <w:szCs w:val="22"/>
        </w:rPr>
        <w:t>Chương 3. Dữ liệu: thu thập từ Dukascopy</w:t>
      </w:r>
    </w:p>
    <w:p>
      <w:pPr>
        <w:pStyle w:val="ListParagraph"/>
        <w:numPr>
          <w:ilvl w:val="0"/>
          <w:numId w:val="20"/>
        </w:numPr>
        <w:spacing w:after="90" w:line="290"/>
        <w:jc w:val="both"/>
      </w:pPr>
      <w:r>
        <w:rPr>
          <w:rFonts w:ascii="Times New Roman" w:cs="Times New Roman" w:eastAsia="Times New Roman" w:hAnsi="Times New Roman"/>
          <w:sz w:val="22"/>
          <w:szCs w:val="22"/>
        </w:rPr>
        <w:t>Chương 4. Làm sạch dữ liệu và chuẩn hóa thời gian</w:t>
      </w:r>
    </w:p>
    <w:p>
      <w:pPr>
        <w:pStyle w:val="ListParagraph"/>
        <w:numPr>
          <w:ilvl w:val="0"/>
          <w:numId w:val="20"/>
        </w:numPr>
        <w:spacing w:after="90" w:line="290"/>
        <w:jc w:val="both"/>
      </w:pPr>
      <w:r>
        <w:rPr>
          <w:rFonts w:ascii="Times New Roman" w:cs="Times New Roman" w:eastAsia="Times New Roman" w:hAnsi="Times New Roman"/>
          <w:sz w:val="22"/>
          <w:szCs w:val="22"/>
        </w:rPr>
        <w:t>Chương 5. Nhánh phân tích kỹ thuật (NB1)</w:t>
      </w:r>
    </w:p>
    <w:p>
      <w:pPr>
        <w:pStyle w:val="ListParagraph"/>
        <w:numPr>
          <w:ilvl w:val="0"/>
          <w:numId w:val="20"/>
        </w:numPr>
        <w:spacing w:after="90" w:line="290"/>
        <w:jc w:val="both"/>
      </w:pPr>
      <w:r>
        <w:rPr>
          <w:rFonts w:ascii="Times New Roman" w:cs="Times New Roman" w:eastAsia="Times New Roman" w:hAnsi="Times New Roman"/>
          <w:sz w:val="22"/>
          <w:szCs w:val="22"/>
        </w:rPr>
        <w:t>Chương 6. Nhánh học máy: XGBoost walk-forward (NB2)</w:t>
      </w:r>
    </w:p>
    <w:p>
      <w:pPr>
        <w:pStyle w:val="ListParagraph"/>
        <w:numPr>
          <w:ilvl w:val="0"/>
          <w:numId w:val="20"/>
        </w:numPr>
        <w:spacing w:after="90" w:line="290"/>
        <w:jc w:val="both"/>
      </w:pPr>
      <w:r>
        <w:rPr>
          <w:rFonts w:ascii="Times New Roman" w:cs="Times New Roman" w:eastAsia="Times New Roman" w:hAnsi="Times New Roman"/>
          <w:sz w:val="22"/>
          <w:szCs w:val="22"/>
        </w:rPr>
        <w:t>Chương 7. Thiết kế backtest: công cụ mô phỏng và chín chiến lược (NB3)</w:t>
      </w:r>
    </w:p>
    <w:p>
      <w:pPr>
        <w:pStyle w:val="ListParagraph"/>
        <w:numPr>
          <w:ilvl w:val="0"/>
          <w:numId w:val="20"/>
        </w:numPr>
        <w:spacing w:after="90" w:line="290"/>
        <w:jc w:val="both"/>
      </w:pPr>
      <w:r>
        <w:rPr>
          <w:rFonts w:ascii="Times New Roman" w:cs="Times New Roman" w:eastAsia="Times New Roman" w:hAnsi="Times New Roman"/>
          <w:sz w:val="22"/>
          <w:szCs w:val="22"/>
        </w:rPr>
        <w:t>Chương 8. Kết quả thực nghiệm</w:t>
      </w:r>
    </w:p>
    <w:p>
      <w:pPr>
        <w:pStyle w:val="ListParagraph"/>
        <w:numPr>
          <w:ilvl w:val="0"/>
          <w:numId w:val="20"/>
        </w:numPr>
        <w:spacing w:after="90" w:line="290"/>
        <w:jc w:val="both"/>
      </w:pPr>
      <w:r>
        <w:rPr>
          <w:rFonts w:ascii="Times New Roman" w:cs="Times New Roman" w:eastAsia="Times New Roman" w:hAnsi="Times New Roman"/>
          <w:sz w:val="22"/>
          <w:szCs w:val="22"/>
        </w:rPr>
        <w:t>Chương 9. Thảo luận và kiểm định giả thuyết</w:t>
      </w:r>
    </w:p>
    <w:p>
      <w:pPr>
        <w:pStyle w:val="ListParagraph"/>
        <w:numPr>
          <w:ilvl w:val="0"/>
          <w:numId w:val="20"/>
        </w:numPr>
        <w:spacing w:after="90" w:line="290"/>
        <w:jc w:val="both"/>
      </w:pPr>
      <w:r>
        <w:rPr>
          <w:rFonts w:ascii="Times New Roman" w:cs="Times New Roman" w:eastAsia="Times New Roman" w:hAnsi="Times New Roman"/>
          <w:sz w:val="22"/>
          <w:szCs w:val="22"/>
        </w:rPr>
        <w:t>Chương 10. Kết luận và hướng phát triển</w:t>
      </w:r>
    </w:p>
    <w:p>
      <w:pPr>
        <w:pStyle w:val="ListParagraph"/>
        <w:numPr>
          <w:ilvl w:val="0"/>
          <w:numId w:val="20"/>
        </w:numPr>
        <w:spacing w:after="90" w:line="290"/>
        <w:jc w:val="both"/>
      </w:pPr>
      <w:r>
        <w:rPr>
          <w:rFonts w:ascii="Times New Roman" w:cs="Times New Roman" w:eastAsia="Times New Roman" w:hAnsi="Times New Roman"/>
          <w:sz w:val="22"/>
          <w:szCs w:val="22"/>
        </w:rPr>
        <w:t>Phụ lục A – C</w:t>
      </w:r>
    </w:p>
    <w:p>
      <w:r>
        <w:br w:type="page"/>
      </w:r>
    </w:p>
    <w:p>
      <w:pPr>
        <w:pStyle w:val="Heading1"/>
        <w:spacing w:after="200" w:before="240"/>
      </w:pPr>
      <w:r>
        <w:rPr>
          <w:rFonts w:ascii="Times New Roman" w:cs="Times New Roman" w:eastAsia="Times New Roman" w:hAnsi="Times New Roman"/>
          <w:b/>
          <w:bCs/>
          <w:color w:val="1F3864"/>
          <w:sz w:val="30"/>
          <w:szCs w:val="30"/>
        </w:rPr>
        <w:t>CHƯƠNG 1. TỔNG QUAN NGHIÊN CỨU, MỤC TIÊU VÀ HỆ GIẢ THUYẾT</w:t>
      </w:r>
    </w:p>
    <w:p>
      <w:pPr>
        <w:pStyle w:val="Heading2"/>
        <w:spacing w:after="140" w:before="260"/>
      </w:pPr>
      <w:r>
        <w:rPr>
          <w:rFonts w:ascii="Times New Roman" w:cs="Times New Roman" w:eastAsia="Times New Roman" w:hAnsi="Times New Roman"/>
          <w:b/>
          <w:bCs/>
          <w:color w:val="2E5496"/>
          <w:sz w:val="25"/>
          <w:szCs w:val="25"/>
        </w:rPr>
        <w:t>1.1. Bối cảnh và tính cấp thiết</w:t>
      </w:r>
    </w:p>
    <w:p>
      <w:pPr>
        <w:spacing w:after="140" w:line="300"/>
        <w:jc w:val="both"/>
      </w:pPr>
      <w:r>
        <w:rPr>
          <w:rFonts w:ascii="Times New Roman" w:cs="Times New Roman" w:eastAsia="Times New Roman" w:hAnsi="Times New Roman"/>
          <w:sz w:val="22"/>
          <w:szCs w:val="22"/>
        </w:rPr>
        <w:t>Thị trường vàng giao ngay XAU/USD là một trong những thị trường có thanh khoản lớn nhất thế giới. Vàng đồng thời là tài sản trú ẩn, công cụ phòng hộ lạm phát và đối tượng đầu cơ nhạy cảm trước lãi suất thực, sức mạnh đồng USD và căng thẳng địa chính trị. Giai đoạn 2020 – 2025 là phép thử khắt khe cho mọi phương pháp dự báo: đại dịch và biến động cực đoan năm 2020, hai năm đi ngang biên rộng 2021 – 2022, rồi chu kỳ tăng mạnh 2023 – 2025 khi giá vượt 4.000 USD/oz.</w:t>
      </w:r>
    </w:p>
    <w:p>
      <w:pPr>
        <w:spacing w:after="140" w:line="300"/>
        <w:jc w:val="both"/>
      </w:pPr>
      <w:r>
        <w:rPr>
          <w:rFonts w:ascii="Times New Roman" w:cs="Times New Roman" w:eastAsia="Times New Roman" w:hAnsi="Times New Roman"/>
          <w:sz w:val="22"/>
          <w:szCs w:val="22"/>
        </w:rPr>
        <w:t xml:space="preserve">Nhà đầu tư cá nhân phần lớn giao dịch vàng bằng các luật kỹ thuật tĩnh: giao cắt đường trung bình động, ngưỡng quá mua – quá bán của RSI, giao cắt MACD. Ưu điểm của các luật này là minh bạch và dễ triển khai trên MetaTrader; nhược điểm là không thích ứng khi thị trường đổi trạng thái. Mô hình học máy như XGBoost có thể học quan hệ phi tuyến giữa nhiều chỉ báo cùng lúc. Câu hỏi thực nghiệm đặt ra: lợi thế lý thuyết đó có chuyển hóa thành lợi thế đo được </w:t>
      </w:r>
      <w:r>
        <w:rPr>
          <w:rFonts w:ascii="Times New Roman" w:cs="Times New Roman" w:eastAsia="Times New Roman" w:hAnsi="Times New Roman"/>
          <w:b/>
          <w:bCs/>
          <w:sz w:val="22"/>
          <w:szCs w:val="22"/>
        </w:rPr>
        <w:t>sau khi trừ đầy đủ chi phí giao dịch</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kiểm soát chặt chẽ rò rỉ dữ liệu</w:t>
      </w:r>
      <w:r>
        <w:rPr>
          <w:rFonts w:ascii="Times New Roman" w:cs="Times New Roman" w:eastAsia="Times New Roman" w:hAnsi="Times New Roman"/>
          <w:sz w:val="22"/>
          <w:szCs w:val="22"/>
        </w:rPr>
        <w:t xml:space="preserve"> hay không.</w:t>
      </w:r>
    </w:p>
    <w:p>
      <w:pPr>
        <w:spacing w:after="140" w:line="300"/>
        <w:jc w:val="both"/>
      </w:pPr>
      <w:r>
        <w:rPr>
          <w:rFonts w:ascii="Times New Roman" w:cs="Times New Roman" w:eastAsia="Times New Roman" w:hAnsi="Times New Roman"/>
          <w:sz w:val="22"/>
          <w:szCs w:val="22"/>
        </w:rPr>
        <w:t xml:space="preserve">Một điểm thường bị bỏ qua trong các so sánh kiểu này là sự lẫn lộn giữa </w:t>
      </w:r>
      <w:r>
        <w:rPr>
          <w:rFonts w:ascii="Times New Roman" w:cs="Times New Roman" w:eastAsia="Times New Roman" w:hAnsi="Times New Roman"/>
          <w:i/>
          <w:iCs/>
          <w:sz w:val="22"/>
          <w:szCs w:val="22"/>
        </w:rPr>
        <w:t>dự báo</w:t>
      </w:r>
      <w:r>
        <w:rPr>
          <w:rFonts w:ascii="Times New Roman" w:cs="Times New Roman" w:eastAsia="Times New Roman" w:hAnsi="Times New Roman"/>
          <w:sz w:val="22"/>
          <w:szCs w:val="22"/>
        </w:rPr>
        <w:t xml:space="preserve"> và </w:t>
      </w:r>
      <w:r>
        <w:rPr>
          <w:rFonts w:ascii="Times New Roman" w:cs="Times New Roman" w:eastAsia="Times New Roman" w:hAnsi="Times New Roman"/>
          <w:i/>
          <w:iCs/>
          <w:sz w:val="22"/>
          <w:szCs w:val="22"/>
        </w:rPr>
        <w:t>lệnh</w:t>
      </w:r>
      <w:r>
        <w:rPr>
          <w:rFonts w:ascii="Times New Roman" w:cs="Times New Roman" w:eastAsia="Times New Roman" w:hAnsi="Times New Roman"/>
          <w:sz w:val="22"/>
          <w:szCs w:val="22"/>
        </w:rPr>
        <w:t xml:space="preserve">. Nếu mỗi phương pháp tự quyết định cả hướng thị trường lẫn cách vào lệnh, chênh lệch kết quả không cho biết phương pháp nào dự báo tốt hơn. Nghiên cứu này tách hai tầng đó ra: mọi nguồn dự báo chỉ nói </w:t>
      </w:r>
      <w:r>
        <w:rPr>
          <w:rFonts w:ascii="Times New Roman" w:cs="Times New Roman" w:eastAsia="Times New Roman" w:hAnsi="Times New Roman"/>
          <w:i/>
          <w:iCs/>
          <w:sz w:val="22"/>
          <w:szCs w:val="22"/>
        </w:rPr>
        <w:t>thị trường sẽ tăng, đi ngang hay giảm</w:t>
      </w:r>
      <w:r>
        <w:rPr>
          <w:rFonts w:ascii="Times New Roman" w:cs="Times New Roman" w:eastAsia="Times New Roman" w:hAnsi="Times New Roman"/>
          <w:sz w:val="22"/>
          <w:szCs w:val="22"/>
        </w:rPr>
        <w:t xml:space="preserve">; còn </w:t>
      </w:r>
      <w:r>
        <w:rPr>
          <w:rFonts w:ascii="Times New Roman" w:cs="Times New Roman" w:eastAsia="Times New Roman" w:hAnsi="Times New Roman"/>
          <w:i/>
          <w:iCs/>
          <w:sz w:val="22"/>
          <w:szCs w:val="22"/>
        </w:rPr>
        <w:t>làm gì với dự báo đó</w:t>
      </w:r>
      <w:r>
        <w:rPr>
          <w:rFonts w:ascii="Times New Roman" w:cs="Times New Roman" w:eastAsia="Times New Roman" w:hAnsi="Times New Roman"/>
          <w:sz w:val="22"/>
          <w:szCs w:val="22"/>
        </w:rPr>
        <w:t xml:space="preserve"> do một bộ chiến lược chung quyết định.</w:t>
      </w:r>
    </w:p>
    <w:p>
      <w:pPr>
        <w:pStyle w:val="Heading2"/>
        <w:spacing w:after="140" w:before="260"/>
      </w:pPr>
      <w:r>
        <w:rPr>
          <w:rFonts w:ascii="Times New Roman" w:cs="Times New Roman" w:eastAsia="Times New Roman" w:hAnsi="Times New Roman"/>
          <w:b/>
          <w:bCs/>
          <w:color w:val="2E5496"/>
          <w:sz w:val="25"/>
          <w:szCs w:val="25"/>
        </w:rPr>
        <w:t>1.2. Câu hỏi nghiên cứu</w:t>
      </w:r>
    </w:p>
    <w:p>
      <w:pPr>
        <w:pStyle w:val="ListParagraph"/>
        <w:numPr>
          <w:ilvl w:val="0"/>
          <w:numId w:val="21"/>
        </w:numPr>
        <w:spacing w:after="90" w:line="290"/>
        <w:jc w:val="both"/>
      </w:pPr>
      <w:r>
        <w:rPr>
          <w:rFonts w:ascii="Times New Roman" w:cs="Times New Roman" w:eastAsia="Times New Roman" w:hAnsi="Times New Roman"/>
          <w:b/>
          <w:bCs/>
          <w:sz w:val="22"/>
          <w:szCs w:val="22"/>
        </w:rPr>
        <w:t>RQ1.</w:t>
      </w:r>
      <w:r>
        <w:rPr>
          <w:rFonts w:ascii="Times New Roman" w:cs="Times New Roman" w:eastAsia="Times New Roman" w:hAnsi="Times New Roman"/>
          <w:sz w:val="22"/>
          <w:szCs w:val="22"/>
        </w:rPr>
        <w:t xml:space="preserve"> Trên cùng một chiến lược giao dịch, dự báo xu hướng của XGBoost có cho hiệu quả (Sharpe, lợi nhuận, sụt giảm) tốt hơn dự báo của từng luật phân tích kỹ thuật hay không?</w:t>
      </w:r>
    </w:p>
    <w:p>
      <w:pPr>
        <w:pStyle w:val="ListParagraph"/>
        <w:numPr>
          <w:ilvl w:val="0"/>
          <w:numId w:val="21"/>
        </w:numPr>
        <w:spacing w:after="90" w:line="290"/>
        <w:jc w:val="both"/>
      </w:pPr>
      <w:r>
        <w:rPr>
          <w:rFonts w:ascii="Times New Roman" w:cs="Times New Roman" w:eastAsia="Times New Roman" w:hAnsi="Times New Roman"/>
          <w:b/>
          <w:bCs/>
          <w:sz w:val="22"/>
          <w:szCs w:val="22"/>
        </w:rPr>
        <w:t>RQ2.</w:t>
      </w:r>
      <w:r>
        <w:rPr>
          <w:rFonts w:ascii="Times New Roman" w:cs="Times New Roman" w:eastAsia="Times New Roman" w:hAnsi="Times New Roman"/>
          <w:sz w:val="22"/>
          <w:szCs w:val="22"/>
        </w:rPr>
        <w:t xml:space="preserve"> Các nguồn dự báo có năng lực dự báo thật, tức tốt hơn một chuỗi dự báo ngẫu nhiên có cùng tỉ lệ uptrend – sideway – downtrend, hay không?</w:t>
      </w:r>
    </w:p>
    <w:p>
      <w:pPr>
        <w:pStyle w:val="ListParagraph"/>
        <w:numPr>
          <w:ilvl w:val="0"/>
          <w:numId w:val="21"/>
        </w:numPr>
        <w:spacing w:after="90" w:line="290"/>
        <w:jc w:val="both"/>
      </w:pPr>
      <w:r>
        <w:rPr>
          <w:rFonts w:ascii="Times New Roman" w:cs="Times New Roman" w:eastAsia="Times New Roman" w:hAnsi="Times New Roman"/>
          <w:b/>
          <w:bCs/>
          <w:sz w:val="22"/>
          <w:szCs w:val="22"/>
        </w:rPr>
        <w:t>RQ3.</w:t>
      </w:r>
      <w:r>
        <w:rPr>
          <w:rFonts w:ascii="Times New Roman" w:cs="Times New Roman" w:eastAsia="Times New Roman" w:hAnsi="Times New Roman"/>
          <w:sz w:val="22"/>
          <w:szCs w:val="22"/>
        </w:rPr>
        <w:t xml:space="preserve"> Kết quả có ổn định qua sáu năm kiểm tra 2020 – 2025, vốn là các chế độ thị trường rất khác nhau, hay chỉ đến từ một vài năm thuận lợi?</w:t>
      </w:r>
    </w:p>
    <w:p>
      <w:pPr>
        <w:pStyle w:val="ListParagraph"/>
        <w:numPr>
          <w:ilvl w:val="0"/>
          <w:numId w:val="21"/>
        </w:numPr>
        <w:spacing w:after="90" w:line="290"/>
        <w:jc w:val="both"/>
      </w:pPr>
      <w:r>
        <w:rPr>
          <w:rFonts w:ascii="Times New Roman" w:cs="Times New Roman" w:eastAsia="Times New Roman" w:hAnsi="Times New Roman"/>
          <w:b/>
          <w:bCs/>
          <w:sz w:val="22"/>
          <w:szCs w:val="22"/>
        </w:rPr>
        <w:t>RQ4.</w:t>
      </w:r>
      <w:r>
        <w:rPr>
          <w:rFonts w:ascii="Times New Roman" w:cs="Times New Roman" w:eastAsia="Times New Roman" w:hAnsi="Times New Roman"/>
          <w:sz w:val="22"/>
          <w:szCs w:val="22"/>
        </w:rPr>
        <w:t xml:space="preserve"> Cách giao dịch nào khai thác dự báo xu hướng hiệu quả nhất: lọc tín hiệu, quản lý lệnh (hòa vốn, SL kéo theo giá, đảo chiều) hay giao dịch cả trong vùng sideway?</w:t>
      </w:r>
    </w:p>
    <w:p>
      <w:pPr>
        <w:pStyle w:val="Heading2"/>
        <w:spacing w:after="140" w:before="260"/>
      </w:pPr>
      <w:r>
        <w:rPr>
          <w:rFonts w:ascii="Times New Roman" w:cs="Times New Roman" w:eastAsia="Times New Roman" w:hAnsi="Times New Roman"/>
          <w:b/>
          <w:bCs/>
          <w:color w:val="2E5496"/>
          <w:sz w:val="25"/>
          <w:szCs w:val="25"/>
        </w:rPr>
        <w:t>1.3. Hệ giả thuyết khoa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500"/>
        <w:gridCol w:w="2760"/>
        <w:gridCol w:w="2400"/>
      </w:tblGrid>
      <w:tr>
        <w:trPr>
          <w:tblHeader/>
        </w:trPr>
        <w:tc>
          <w:tcPr>
            <w:tcW w:type="dxa" w:w="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Mã</w:t>
            </w:r>
          </w:p>
        </w:tc>
        <w:tc>
          <w:tcPr>
            <w:tcW w:type="dxa" w:w="3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Phát biểu giả thuyết</w:t>
            </w:r>
          </w:p>
        </w:tc>
        <w:tc>
          <w:tcPr>
            <w:tcW w:type="dxa" w:w="27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Chỉ tiêu kiểm định</w:t>
            </w:r>
          </w:p>
        </w:tc>
        <w:tc>
          <w:tcPr>
            <w:tcW w:type="dxa" w:w="24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Tiêu chí bác bỏ H0</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H1</w:t>
            </w:r>
          </w:p>
        </w:tc>
        <w:tc>
          <w:tcPr>
            <w:tcW w:type="dxa" w:w="3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XGBoost cho Sharpe từng năm cao hơn luật kỹ thuật trên cùng chiến lược</w:t>
            </w:r>
          </w:p>
        </w:tc>
        <w:tc>
          <w:tcPr>
            <w:tcW w:type="dxa" w:w="2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Sharpe và Return từng năm, cặp (chiến lược, năm)</w:t>
            </w:r>
          </w:p>
        </w:tc>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Wilcoxon ghép cặp, p &lt; 0,05</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H2</w:t>
            </w:r>
          </w:p>
        </w:tc>
        <w:tc>
          <w:tcPr>
            <w:tcW w:type="dxa" w:w="3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Nguồn dự báo có năng lực vượt ngẫu nhiên</w:t>
            </w:r>
          </w:p>
        </w:tc>
        <w:tc>
          <w:tcPr>
            <w:tcW w:type="dxa" w:w="2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Phân vị Sharpe so với 50 lần xáo trộn dự báo</w:t>
            </w:r>
          </w:p>
        </w:tc>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Phân vị ≥ 95 % ở phần lớn chiến lược</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H3</w:t>
            </w:r>
          </w:p>
        </w:tc>
        <w:tc>
          <w:tcPr>
            <w:tcW w:type="dxa" w:w="3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Đánh ngược dự báo (S12) phải thua lỗ nếu dự báo có giá trị</w:t>
            </w:r>
          </w:p>
        </w:tc>
        <w:tc>
          <w:tcPr>
            <w:tcW w:type="dxa" w:w="2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Sharpe và phân vị của S12</w:t>
            </w:r>
          </w:p>
        </w:tc>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S12 có Sharpe &lt; 0 và phân vị thấp</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H4</w:t>
            </w:r>
          </w:p>
        </w:tc>
        <w:tc>
          <w:tcPr>
            <w:tcW w:type="dxa" w:w="3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Hiệu quả ổn định qua các năm</w:t>
            </w:r>
          </w:p>
        </w:tc>
        <w:tc>
          <w:tcPr>
            <w:tcW w:type="dxa" w:w="2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Số năm có lãi trên 6 năm kiểm tra</w:t>
            </w:r>
          </w:p>
        </w:tc>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Có lãi ≥ 5 / 6 năm</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H5</w:t>
            </w:r>
          </w:p>
        </w:tc>
        <w:tc>
          <w:tcPr>
            <w:tcW w:type="dxa" w:w="3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Giao dịch đánh vùng trong sideway không tạo lợi thế sau chi phí</w:t>
            </w:r>
          </w:p>
        </w:tc>
        <w:tc>
          <w:tcPr>
            <w:tcW w:type="dxa" w:w="2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Sharpe của S09 so với chiến lược theo trend</w:t>
            </w:r>
          </w:p>
        </w:tc>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S09 kém hơn rõ rệt ở mọi nguồn có sideway</w:t>
            </w:r>
          </w:p>
        </w:tc>
      </w:tr>
    </w:tbl>
    <w:p>
      <w:pPr>
        <w:spacing w:after="180" w:before="70"/>
        <w:jc w:val="center"/>
      </w:pPr>
      <w:r>
        <w:rPr>
          <w:rFonts w:ascii="Times New Roman" w:cs="Times New Roman" w:eastAsia="Times New Roman" w:hAnsi="Times New Roman"/>
          <w:i/>
          <w:iCs/>
          <w:color w:val="555555"/>
          <w:sz w:val="19"/>
          <w:szCs w:val="19"/>
        </w:rPr>
        <w:t>Bảng 1.1 — Hệ năm giả thuyết nghiên cứu và tiêu chí kiểm định tương ứng</w:t>
      </w:r>
    </w:p>
    <w:p>
      <w:pPr>
        <w:pStyle w:val="Heading2"/>
        <w:spacing w:after="140" w:before="260"/>
      </w:pPr>
      <w:r>
        <w:rPr>
          <w:rFonts w:ascii="Times New Roman" w:cs="Times New Roman" w:eastAsia="Times New Roman" w:hAnsi="Times New Roman"/>
          <w:b/>
          <w:bCs/>
          <w:color w:val="2E5496"/>
          <w:sz w:val="25"/>
          <w:szCs w:val="25"/>
        </w:rPr>
        <w:t>1.4. Phạm vi và giới hạn</w:t>
      </w:r>
    </w:p>
    <w:p>
      <w:pPr>
        <w:pStyle w:val="ListParagraph"/>
        <w:numPr>
          <w:ilvl w:val="0"/>
          <w:numId w:val="22"/>
        </w:numPr>
        <w:spacing w:after="90" w:line="290"/>
        <w:jc w:val="both"/>
      </w:pPr>
      <w:r>
        <w:rPr>
          <w:rFonts w:ascii="Times New Roman" w:cs="Times New Roman" w:eastAsia="Times New Roman" w:hAnsi="Times New Roman"/>
          <w:b/>
          <w:bCs/>
          <w:sz w:val="22"/>
          <w:szCs w:val="22"/>
        </w:rPr>
        <w:t>Tài sản:</w:t>
      </w:r>
      <w:r>
        <w:rPr>
          <w:rFonts w:ascii="Times New Roman" w:cs="Times New Roman" w:eastAsia="Times New Roman" w:hAnsi="Times New Roman"/>
          <w:sz w:val="22"/>
          <w:szCs w:val="22"/>
        </w:rPr>
        <w:t xml:space="preserve"> XAU/USD là tài sản duy nhất. Không dùng biến ngoại sinh (DXY, lãi suất, tin tức) để cô lập đúng câu hỏi: chỉ từ dữ liệu giá, luật cố định và mô hình học máy khác nhau thế nào.</w:t>
      </w:r>
    </w:p>
    <w:p>
      <w:pPr>
        <w:pStyle w:val="ListParagraph"/>
        <w:numPr>
          <w:ilvl w:val="0"/>
          <w:numId w:val="22"/>
        </w:numPr>
        <w:spacing w:after="90" w:line="290"/>
        <w:jc w:val="both"/>
      </w:pPr>
      <w:r>
        <w:rPr>
          <w:rFonts w:ascii="Times New Roman" w:cs="Times New Roman" w:eastAsia="Times New Roman" w:hAnsi="Times New Roman"/>
          <w:b/>
          <w:bCs/>
          <w:sz w:val="22"/>
          <w:szCs w:val="22"/>
        </w:rPr>
        <w:t>Khung thời gian:</w:t>
      </w:r>
      <w:r>
        <w:rPr>
          <w:rFonts w:ascii="Times New Roman" w:cs="Times New Roman" w:eastAsia="Times New Roman" w:hAnsi="Times New Roman"/>
          <w:sz w:val="22"/>
          <w:szCs w:val="22"/>
        </w:rPr>
        <w:t xml:space="preserve"> thực nghiệm chính trên H1. Quy trình chấp nhận mọi khung (M30 – D1) nhưng các kết quả trong báo cáo là của H1.</w:t>
      </w:r>
    </w:p>
    <w:p>
      <w:pPr>
        <w:pStyle w:val="ListParagraph"/>
        <w:numPr>
          <w:ilvl w:val="0"/>
          <w:numId w:val="22"/>
        </w:numPr>
        <w:spacing w:after="90" w:line="290"/>
        <w:jc w:val="both"/>
      </w:pPr>
      <w:r>
        <w:rPr>
          <w:rFonts w:ascii="Times New Roman" w:cs="Times New Roman" w:eastAsia="Times New Roman" w:hAnsi="Times New Roman"/>
          <w:b/>
          <w:bCs/>
          <w:sz w:val="22"/>
          <w:szCs w:val="22"/>
        </w:rPr>
        <w:t>Nguồn dự báo:</w:t>
      </w:r>
      <w:r>
        <w:rPr>
          <w:rFonts w:ascii="Times New Roman" w:cs="Times New Roman" w:eastAsia="Times New Roman" w:hAnsi="Times New Roman"/>
          <w:sz w:val="22"/>
          <w:szCs w:val="22"/>
        </w:rPr>
        <w:t xml:space="preserve"> bốn luật kỹ thuật của nhóm và XGBoost. Random Forest, Bi-LSTM vẫn có trong notebook NB2 dưới dạng tùy chọn nhưng không thuộc trọng tâm báo cáo này.</w:t>
      </w:r>
    </w:p>
    <w:p>
      <w:pPr>
        <w:pStyle w:val="ListParagraph"/>
        <w:numPr>
          <w:ilvl w:val="0"/>
          <w:numId w:val="22"/>
        </w:numPr>
        <w:spacing w:after="90" w:line="290"/>
        <w:jc w:val="both"/>
      </w:pPr>
      <w:r>
        <w:rPr>
          <w:rFonts w:ascii="Times New Roman" w:cs="Times New Roman" w:eastAsia="Times New Roman" w:hAnsi="Times New Roman"/>
          <w:b/>
          <w:bCs/>
          <w:sz w:val="22"/>
          <w:szCs w:val="22"/>
        </w:rPr>
        <w:t>Loại lệnh:</w:t>
      </w:r>
      <w:r>
        <w:rPr>
          <w:rFonts w:ascii="Times New Roman" w:cs="Times New Roman" w:eastAsia="Times New Roman" w:hAnsi="Times New Roman"/>
          <w:sz w:val="22"/>
          <w:szCs w:val="22"/>
        </w:rPr>
        <w:t xml:space="preserve"> lệnh thị trường, vào ở giá mở nến kế tiếp; tối đa một lệnh mỗi chiều (được giữ đồng thời một BUY và một SELL), không nhồi lệnh cùng chiều.</w:t>
      </w:r>
    </w:p>
    <w:p>
      <w:pPr>
        <w:pStyle w:val="ListParagraph"/>
        <w:numPr>
          <w:ilvl w:val="0"/>
          <w:numId w:val="22"/>
        </w:numPr>
        <w:spacing w:after="90" w:line="290"/>
        <w:jc w:val="both"/>
      </w:pPr>
      <w:r>
        <w:rPr>
          <w:rFonts w:ascii="Times New Roman" w:cs="Times New Roman" w:eastAsia="Times New Roman" w:hAnsi="Times New Roman"/>
          <w:b/>
          <w:bCs/>
          <w:sz w:val="22"/>
          <w:szCs w:val="22"/>
        </w:rPr>
        <w:t>Không nghiên cứu:</w:t>
      </w:r>
      <w:r>
        <w:rPr>
          <w:rFonts w:ascii="Times New Roman" w:cs="Times New Roman" w:eastAsia="Times New Roman" w:hAnsi="Times New Roman"/>
          <w:sz w:val="22"/>
          <w:szCs w:val="22"/>
        </w:rPr>
        <w:t xml:space="preserve"> giao dịch tần suất cao dưới M30, chênh lệch giá liên sàn, sản phẩm phái sinh quyền chọn vàng.</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LƯU Ý VỀ NGUỒN GỐC SỐ LIỆU</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Mọi con số trong báo cáo được sinh ra từ một lần chạy trọn quy trình (notebook NCKH_XAUUSD_Toan_bo_quy_trinh.ipynb) ngày 11/09/2026 trên bộ dữ liệu H1 Dukascopy 2015 – 2025 của nhóm, với hạt giống ngẫu nhiên cố định. Không có con số nào được điều chỉnh bằng tay.</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Khi nhóm chạy lại trên Google Colab với bộ dữ liệu tải mới từ Dukascopy, các con số có thể lệch nhỏ. Bảng biểu trong báo cáo phải được cập nhật theo lần chạy cuối cùng, kể cả khi kết quả mới làm thay đổi kết luận.</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2. QUY TRÌNH NGHIÊN CỨU TỔNG THỂ</w:t>
      </w:r>
    </w:p>
    <w:p>
      <w:pPr>
        <w:pStyle w:val="Heading2"/>
        <w:spacing w:after="140" w:before="260"/>
      </w:pPr>
      <w:r>
        <w:rPr>
          <w:rFonts w:ascii="Times New Roman" w:cs="Times New Roman" w:eastAsia="Times New Roman" w:hAnsi="Times New Roman"/>
          <w:b/>
          <w:bCs/>
          <w:color w:val="2E5496"/>
          <w:sz w:val="25"/>
          <w:szCs w:val="25"/>
        </w:rPr>
        <w:t>2.1. Sơ đồ luồng dữ liệu</w:t>
      </w:r>
    </w:p>
    <w:p>
      <w:pPr>
        <w:spacing w:after="140" w:line="300"/>
        <w:jc w:val="both"/>
      </w:pPr>
      <w:r>
        <w:rPr>
          <w:rFonts w:ascii="Times New Roman" w:cs="Times New Roman" w:eastAsia="Times New Roman" w:hAnsi="Times New Roman"/>
          <w:sz w:val="22"/>
          <w:szCs w:val="22"/>
        </w:rPr>
        <w:t xml:space="preserve">Quy trình gồm năm bước nối tiếp, mỗi bước là một notebook Google Colab, trao đổi dữ liệu qua cùng một thư mục Google Drive. Hai nhánh dự báo NB1 và NB2 chạy </w:t>
      </w:r>
      <w:r>
        <w:rPr>
          <w:rFonts w:ascii="Times New Roman" w:cs="Times New Roman" w:eastAsia="Times New Roman" w:hAnsi="Times New Roman"/>
          <w:b/>
          <w:bCs/>
          <w:sz w:val="22"/>
          <w:szCs w:val="22"/>
        </w:rPr>
        <w:t>song song và độc lập</w:t>
      </w:r>
      <w:r>
        <w:rPr>
          <w:rFonts w:ascii="Times New Roman" w:cs="Times New Roman" w:eastAsia="Times New Roman" w:hAnsi="Times New Roman"/>
          <w:sz w:val="22"/>
          <w:szCs w:val="22"/>
        </w:rPr>
        <w:t>: cùng đọc một tệp dữ liệu đã làm sạch, không nhánh nào dùng kết quả của nhánh kia. NB3 chỉ bắt đầu khi đã có dự báo của cả hai nhánh.</w:t>
      </w:r>
    </w:p>
    <w:p>
      <w:pPr>
        <w:jc w:val="center"/>
        <w:spacing w:after="0" w:before="100"/>
      </w:pPr>
      <w:r>
        <w:drawing>
          <wp:inline xmlns:a="http://schemas.openxmlformats.org/drawingml/2006/main" xmlns:pic="http://schemas.openxmlformats.org/drawingml/2006/picture">
            <wp:extent cx="5940000" cy="2138400"/>
            <wp:docPr id="1" name="Picture 1"/>
            <wp:cNvGraphicFramePr>
              <a:graphicFrameLocks noChangeAspect="1"/>
            </wp:cNvGraphicFramePr>
            <a:graphic>
              <a:graphicData uri="http://schemas.openxmlformats.org/drawingml/2006/picture">
                <pic:pic>
                  <pic:nvPicPr>
                    <pic:cNvPr id="0" name="h_quy_trinh.png"/>
                    <pic:cNvPicPr/>
                  </pic:nvPicPr>
                  <pic:blipFill>
                    <a:blip r:embed="rId10"/>
                    <a:stretch>
                      <a:fillRect/>
                    </a:stretch>
                  </pic:blipFill>
                  <pic:spPr>
                    <a:xfrm>
                      <a:off x="0" y="0"/>
                      <a:ext cx="5940000" cy="2138400"/>
                    </a:xfrm>
                    <a:prstGeom prst="rect"/>
                  </pic:spPr>
                </pic:pic>
              </a:graphicData>
            </a:graphic>
          </wp:inline>
        </w:drawing>
      </w:r>
    </w:p>
    <w:p>
      <w:pPr>
        <w:spacing w:after="180" w:before="70"/>
        <w:jc w:val="center"/>
      </w:pPr>
      <w:r>
        <w:rPr>
          <w:rFonts w:ascii="Times New Roman" w:cs="Times New Roman" w:eastAsia="Times New Roman" w:hAnsi="Times New Roman"/>
          <w:i/>
          <w:iCs/>
          <w:color w:val="555555"/>
          <w:sz w:val="19"/>
          <w:szCs w:val="19"/>
        </w:rPr>
        <w:t>Hình 2.1 — Luồng quy trình nghiên cứu: từ dữ liệu thô tới đánh giá</w:t>
      </w:r>
    </w:p>
    <w:p>
      <w:pPr>
        <w:pStyle w:val="Heading2"/>
        <w:spacing w:after="140" w:before="260"/>
      </w:pPr>
      <w:r>
        <w:rPr>
          <w:rFonts w:ascii="Times New Roman" w:cs="Times New Roman" w:eastAsia="Times New Roman" w:hAnsi="Times New Roman"/>
          <w:b/>
          <w:bCs/>
          <w:color w:val="2E5496"/>
          <w:sz w:val="25"/>
          <w:szCs w:val="25"/>
        </w:rPr>
        <w:t>2.2. Năm notebook và sản phẩm đầu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2260"/>
        <w:gridCol w:w="2700"/>
      </w:tblGrid>
      <w:tr>
        <w:trPr>
          <w:tblHeader/>
        </w:trPr>
        <w:tc>
          <w:tcPr>
            <w:tcW w:type="dxa" w:w="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Bước</w:t>
            </w:r>
          </w:p>
        </w:tc>
        <w:tc>
          <w:tcPr>
            <w:tcW w:type="dxa" w:w="3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Nhiệm vụ</w:t>
            </w:r>
          </w:p>
        </w:tc>
        <w:tc>
          <w:tcPr>
            <w:tcW w:type="dxa" w:w="22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Đầu vào</w:t>
            </w:r>
          </w:p>
        </w:tc>
        <w:tc>
          <w:tcPr>
            <w:tcW w:type="dxa" w:w="2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Đầu ra chính</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00</w:t>
            </w:r>
          </w:p>
        </w:tc>
        <w:tc>
          <w:tcPr>
            <w:tcW w:type="dxa" w:w="3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Tải nến M1 từ Dukascopy, gộp lên các khung, tự kiểm tra giá và giờ</w:t>
            </w:r>
          </w:p>
        </w:tc>
        <w:tc>
          <w:tcPr>
            <w:tcW w:type="dxa" w:w="22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Máy chủ datafeed.dukascopy.com</w:t>
            </w:r>
          </w:p>
        </w:tc>
        <w:tc>
          <w:tcPr>
            <w:tcW w:type="dxa" w:w="2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dukascopy_XAUUSD_&lt;khung&gt;.csv</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01</w:t>
            </w:r>
          </w:p>
        </w:tc>
        <w:tc>
          <w:tcPr>
            <w:tcW w:type="dxa" w:w="3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Làm sạch: chuẩn hóa ngày giờ, trùng lặp, khuyết thiếu, sai cấu trúc OHLC, kiểm tra chéo</w:t>
            </w:r>
          </w:p>
        </w:tc>
        <w:tc>
          <w:tcPr>
            <w:tcW w:type="dxa" w:w="22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Tệp của bước 00 (hoặc tệp bất kỳ)</w:t>
            </w:r>
          </w:p>
        </w:tc>
        <w:tc>
          <w:tcPr>
            <w:tcW w:type="dxa" w:w="2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…_sach.csv, bao_cao_lam_sach.csv</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NB1</w:t>
            </w:r>
          </w:p>
        </w:tc>
        <w:tc>
          <w:tcPr>
            <w:tcW w:type="dxa" w:w="3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Tính chỉ báo, áp 3 luật và luật tổng hợp → dự báo xu hướng</w:t>
            </w:r>
          </w:p>
        </w:tc>
        <w:tc>
          <w:tcPr>
            <w:tcW w:type="dxa" w:w="22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Tệp sạch</w:t>
            </w:r>
          </w:p>
        </w:tc>
        <w:tc>
          <w:tcPr>
            <w:tcW w:type="dxa" w:w="2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gold_price_technical_signal.csv</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NB2</w:t>
            </w:r>
          </w:p>
        </w:tc>
        <w:tc>
          <w:tcPr>
            <w:tcW w:type="dxa" w:w="3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Gán nhãn, huấn luyện XGBoost walk-forward 2020 – 2025 → dự báo xu hướng</w:t>
            </w:r>
          </w:p>
        </w:tc>
        <w:tc>
          <w:tcPr>
            <w:tcW w:type="dxa" w:w="22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Tệp sạch</w:t>
            </w:r>
          </w:p>
        </w:tc>
        <w:tc>
          <w:tcPr>
            <w:tcW w:type="dxa" w:w="2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gold_model_signals.csv, danh_gia_walk_forward.csv</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NB3</w:t>
            </w:r>
          </w:p>
        </w:tc>
        <w:tc>
          <w:tcPr>
            <w:tcW w:type="dxa" w:w="3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Ghép dự báo, áp 9 chiến lược, backtest kiểu MT5, đối chứng, kiểm định</w:t>
            </w:r>
          </w:p>
        </w:tc>
        <w:tc>
          <w:tcPr>
            <w:tcW w:type="dxa" w:w="22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Hai tệp dự báo</w:t>
            </w:r>
          </w:p>
        </w:tc>
        <w:tc>
          <w:tcPr>
            <w:tcW w:type="dxa" w:w="2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backtest_comparison_report.csv, ket_qua_theo_nam.csv, …</w:t>
            </w:r>
          </w:p>
        </w:tc>
      </w:tr>
    </w:tbl>
    <w:p>
      <w:pPr>
        <w:spacing w:after="180" w:before="70"/>
        <w:jc w:val="center"/>
      </w:pPr>
      <w:r>
        <w:rPr>
          <w:rFonts w:ascii="Times New Roman" w:cs="Times New Roman" w:eastAsia="Times New Roman" w:hAnsi="Times New Roman"/>
          <w:i/>
          <w:iCs/>
          <w:color w:val="555555"/>
          <w:sz w:val="19"/>
          <w:szCs w:val="19"/>
        </w:rPr>
        <w:t>Bảng 2.1 — Nhiệm vụ, đầu vào và đầu ra của từng bước</w:t>
      </w:r>
    </w:p>
    <w:p>
      <w:pPr>
        <w:pStyle w:val="Heading2"/>
        <w:spacing w:after="140" w:before="260"/>
      </w:pPr>
      <w:r>
        <w:rPr>
          <w:rFonts w:ascii="Times New Roman" w:cs="Times New Roman" w:eastAsia="Times New Roman" w:hAnsi="Times New Roman"/>
          <w:b/>
          <w:bCs/>
          <w:color w:val="2E5496"/>
          <w:sz w:val="25"/>
          <w:szCs w:val="25"/>
        </w:rPr>
        <w:t>2.3. Nguyên tắc so sánh công bằng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100"/>
        <w:gridCol w:w="4560"/>
      </w:tblGrid>
      <w:tr>
        <w:trPr>
          <w:tblHeader/>
        </w:trPr>
        <w:tc>
          <w:tcPr>
            <w:tcW w:type="dxa" w:w="1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Yếu tố</w:t>
            </w:r>
          </w:p>
        </w:tc>
        <w:tc>
          <w:tcPr>
            <w:tcW w:type="dxa" w:w="31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Yêu cầu</w:t>
            </w:r>
          </w:p>
        </w:tc>
        <w:tc>
          <w:tcPr>
            <w:tcW w:type="dxa" w:w="45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Cách thực hiện trong quy trình</w:t>
            </w:r>
          </w:p>
        </w:tc>
      </w:tr>
      <w:tr>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Dữ liệu</w:t>
            </w:r>
          </w:p>
        </w:tc>
        <w:tc>
          <w:tcPr>
            <w:tcW w:type="dxa" w:w="3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Hai nhánh dùng đúng một bộ dữ liệu</w:t>
            </w:r>
          </w:p>
        </w:tc>
        <w:tc>
          <w:tcPr>
            <w:tcW w:type="dxa" w:w="4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NB3 đối chiếu giá đóng cửa của hai tệp dự báo; lệch &gt; 1 % số nến thì cảnh báo</w:t>
            </w:r>
          </w:p>
        </w:tc>
      </w:tr>
      <w:tr>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Giai đoạn</w:t>
            </w:r>
          </w:p>
        </w:tc>
        <w:tc>
          <w:tcPr>
            <w:tcW w:type="dxa" w:w="3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Mọi kịch bản chạy trên cùng khoảng thời gian</w:t>
            </w:r>
          </w:p>
        </w:tc>
        <w:tc>
          <w:tcPr>
            <w:tcW w:type="dxa" w:w="4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giữ phần giao nhau của hai tệp — 6 năm kiểm tra walk-forward</w:t>
            </w:r>
          </w:p>
        </w:tc>
      </w:tr>
      <w:tr>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Luật giao dịch</w:t>
            </w:r>
          </w:p>
        </w:tc>
        <w:tc>
          <w:tcPr>
            <w:tcW w:type="dxa" w:w="3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Cùng một chiến lược cho mọi nguồn</w:t>
            </w:r>
          </w:p>
        </w:tc>
        <w:tc>
          <w:tcPr>
            <w:tcW w:type="dxa" w:w="4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Hàm tao_lenh() chỉ nhận chuỗi dự báo, không biết nguồn là gì</w:t>
            </w:r>
          </w:p>
        </w:tc>
      </w:tr>
      <w:tr>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Chi phí</w:t>
            </w:r>
          </w:p>
        </w:tc>
        <w:tc>
          <w:tcPr>
            <w:tcW w:type="dxa" w:w="3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Cùng spread, commission, swap</w:t>
            </w:r>
          </w:p>
        </w:tc>
        <w:tc>
          <w:tcPr>
            <w:tcW w:type="dxa" w:w="4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Một cấu hình CauHinhMT5 duy nhất cho 45 kịch bản</w:t>
            </w:r>
          </w:p>
        </w:tc>
      </w:tr>
      <w:tr>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Khối lượng</w:t>
            </w:r>
          </w:p>
        </w:tc>
        <w:tc>
          <w:tcPr>
            <w:tcW w:type="dxa" w:w="3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Cùng quy tắc định cỡ vị thế</w:t>
            </w:r>
          </w:p>
        </w:tc>
        <w:tc>
          <w:tcPr>
            <w:tcW w:type="dxa" w:w="4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Rủi ro 1 % số dư mỗi lệnh, lot tính từ khoảng cách SL</w:t>
            </w:r>
          </w:p>
        </w:tc>
      </w:tr>
      <w:tr>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Thông tin đầu vào</w:t>
            </w:r>
          </w:p>
        </w:tc>
        <w:tc>
          <w:tcPr>
            <w:tcW w:type="dxa" w:w="3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Luật và mô hình dùng cùng lượng thông tin</w:t>
            </w:r>
          </w:p>
        </w:tc>
        <w:tc>
          <w:tcPr>
            <w:tcW w:type="dxa" w:w="4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XGBoost chỉ học từ chính bộ chỉ báo của NB1, đã đổi sang dạng tương đối</w:t>
            </w:r>
          </w:p>
        </w:tc>
      </w:tr>
    </w:tbl>
    <w:p>
      <w:pPr>
        <w:spacing w:after="180" w:before="70"/>
        <w:jc w:val="center"/>
      </w:pPr>
      <w:r>
        <w:rPr>
          <w:rFonts w:ascii="Times New Roman" w:cs="Times New Roman" w:eastAsia="Times New Roman" w:hAnsi="Times New Roman"/>
          <w:i/>
          <w:iCs/>
          <w:color w:val="555555"/>
          <w:sz w:val="19"/>
          <w:szCs w:val="19"/>
        </w:rPr>
        <w:t>Bảng 2.2 — Sáu điều kiện đảm bảo tính công bằng của phép so sánh</w:t>
      </w:r>
    </w:p>
    <w:p>
      <w:pPr>
        <w:pBdr>
          <w:left w:val="single" w:color="B06000" w:sz="18" w:space="8"/>
        </w:pBdr>
        <w:shd w:fill="FFF4E5" w:color="auto" w:val="clear"/>
        <w:spacing w:after="60" w:before="60"/>
        <w:ind w:left="120" w:right="90"/>
      </w:pPr>
      <w:r>
        <w:rPr>
          <w:rFonts w:ascii="Times New Roman" w:cs="Times New Roman" w:eastAsia="Times New Roman" w:hAnsi="Times New Roman"/>
          <w:b/>
          <w:bCs/>
          <w:color w:val="B06000"/>
          <w:sz w:val="21"/>
          <w:szCs w:val="21"/>
        </w:rPr>
        <w:t>ĐIỂM KHÁC BIỆT SO VỚI QUY TRÌNH CŨ</w:t>
      </w:r>
    </w:p>
    <w:p>
      <w:pPr>
        <w:pBdr>
          <w:left w:val="single" w:color="B06000" w:sz="18" w:space="8"/>
        </w:pBdr>
        <w:shd w:fill="FFF4E5" w:color="auto" w:val="clear"/>
        <w:spacing w:after="40" w:line="270"/>
        <w:ind w:left="120" w:right="90"/>
        <w:jc w:val="both"/>
      </w:pPr>
      <w:r>
        <w:rPr>
          <w:rFonts w:ascii="Times New Roman" w:cs="Times New Roman" w:eastAsia="Times New Roman" w:hAnsi="Times New Roman"/>
          <w:b/>
          <w:bCs/>
          <w:sz w:val="22"/>
          <w:szCs w:val="22"/>
        </w:rPr>
        <w:t>Bỏ tái tạo chuỗi 24/7 từ PAXG và tin tức GDELT.</w:t>
      </w:r>
      <w:r>
        <w:rPr>
          <w:rFonts w:ascii="Times New Roman" w:cs="Times New Roman" w:eastAsia="Times New Roman" w:hAnsi="Times New Roman"/>
          <w:sz w:val="22"/>
          <w:szCs w:val="22"/>
        </w:rPr>
        <w:t xml:space="preserve"> Nghiên cứu tập trung vào câu hỏi cốt lõi — kỹ thuật hay học máy — và chỉ dùng dữ liệu giá của chính XAU/USD, nên mọi lệnh đều khớp được trên thị trường thật.</w:t>
      </w:r>
    </w:p>
    <w:p>
      <w:pPr>
        <w:pBdr>
          <w:left w:val="single" w:color="B06000" w:sz="18" w:space="8"/>
        </w:pBdr>
        <w:shd w:fill="FFF4E5" w:color="auto" w:val="clear"/>
        <w:spacing w:after="40" w:line="270"/>
        <w:ind w:left="120" w:right="90"/>
        <w:jc w:val="both"/>
      </w:pPr>
      <w:r>
        <w:rPr>
          <w:rFonts w:ascii="Times New Roman" w:cs="Times New Roman" w:eastAsia="Times New Roman" w:hAnsi="Times New Roman"/>
          <w:b/>
          <w:bCs/>
          <w:sz w:val="22"/>
          <w:szCs w:val="22"/>
        </w:rPr>
        <w:t>Gán nhãn theo phần trăm giá thay vì bội số ATR</w:t>
      </w:r>
      <w:r>
        <w:rPr>
          <w:rFonts w:ascii="Times New Roman" w:cs="Times New Roman" w:eastAsia="Times New Roman" w:hAnsi="Times New Roman"/>
          <w:sz w:val="22"/>
          <w:szCs w:val="22"/>
        </w:rPr>
        <w:t>, với tham số được dò tự động trên tập huấn luyện của từng lần walk-forward.</w:t>
      </w:r>
    </w:p>
    <w:p>
      <w:pPr>
        <w:pBdr>
          <w:left w:val="single" w:color="B06000" w:sz="18" w:space="8"/>
        </w:pBdr>
        <w:shd w:fill="FFF4E5" w:color="auto" w:val="clear"/>
        <w:spacing w:after="40" w:line="270"/>
        <w:ind w:left="120" w:right="90"/>
        <w:jc w:val="both"/>
      </w:pPr>
      <w:r>
        <w:rPr>
          <w:rFonts w:ascii="Times New Roman" w:cs="Times New Roman" w:eastAsia="Times New Roman" w:hAnsi="Times New Roman"/>
          <w:b/>
          <w:bCs/>
          <w:sz w:val="22"/>
          <w:szCs w:val="22"/>
        </w:rPr>
        <w:t>Tách tầng dự báo và tầng chiến lược.</w:t>
      </w:r>
      <w:r>
        <w:rPr>
          <w:rFonts w:ascii="Times New Roman" w:cs="Times New Roman" w:eastAsia="Times New Roman" w:hAnsi="Times New Roman"/>
          <w:sz w:val="22"/>
          <w:szCs w:val="22"/>
        </w:rPr>
        <w:t xml:space="preserve"> NB1, NB2 chỉ nói xu hướng; NB3 mới quyết định BUY/SELL, SL, TP. Nhờ vậy cùng một dự báo được đánh giá qua chín cách giao dịch khác nhau.</w:t>
      </w:r>
    </w:p>
    <w:p>
      <w:pPr>
        <w:pBdr>
          <w:left w:val="single" w:color="B06000" w:sz="18" w:space="8"/>
        </w:pBdr>
        <w:shd w:fill="FFF4E5" w:color="auto" w:val="clear"/>
        <w:spacing w:after="40" w:line="270"/>
        <w:ind w:left="120" w:right="90"/>
        <w:jc w:val="both"/>
      </w:pPr>
      <w:r>
        <w:rPr>
          <w:rFonts w:ascii="Times New Roman" w:cs="Times New Roman" w:eastAsia="Times New Roman" w:hAnsi="Times New Roman"/>
          <w:b/>
          <w:bCs/>
          <w:sz w:val="22"/>
          <w:szCs w:val="22"/>
        </w:rPr>
        <w:t>Walk-forward theo năm dương lịch (2020 – 2025)</w:t>
      </w:r>
      <w:r>
        <w:rPr>
          <w:rFonts w:ascii="Times New Roman" w:cs="Times New Roman" w:eastAsia="Times New Roman" w:hAnsi="Times New Roman"/>
          <w:sz w:val="22"/>
          <w:szCs w:val="22"/>
        </w:rPr>
        <w:t xml:space="preserve"> thay cho một lần chia cố định, cho sáu năm kiểm tra ngoài mẫu liên tiếp.</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3. DỮ LIỆU: THU THẬP TỪ DUKASCOPY</w:t>
      </w:r>
    </w:p>
    <w:p>
      <w:pPr>
        <w:pStyle w:val="Heading2"/>
        <w:spacing w:after="140" w:before="260"/>
      </w:pPr>
      <w:r>
        <w:rPr>
          <w:rFonts w:ascii="Times New Roman" w:cs="Times New Roman" w:eastAsia="Times New Roman" w:hAnsi="Times New Roman"/>
          <w:b/>
          <w:bCs/>
          <w:color w:val="2E5496"/>
          <w:sz w:val="25"/>
          <w:szCs w:val="25"/>
        </w:rPr>
        <w:t>3.1. Lựa chọn nguồn dữ liệu</w:t>
      </w:r>
    </w:p>
    <w:p>
      <w:pPr>
        <w:spacing w:after="140" w:line="300"/>
        <w:jc w:val="both"/>
      </w:pPr>
      <w:r>
        <w:rPr>
          <w:rFonts w:ascii="Times New Roman" w:cs="Times New Roman" w:eastAsia="Times New Roman" w:hAnsi="Times New Roman"/>
          <w:sz w:val="22"/>
          <w:szCs w:val="22"/>
        </w:rPr>
        <w:t xml:space="preserve">Yêu cầu đặt ra cho nguồn dữ liệu: đủ 11 năm 2015 – 2025 ở các khung M30, H1, H4, D1; có đủ time + OHLCV; thời gian quy về được UTC; và </w:t>
      </w:r>
      <w:r>
        <w:rPr>
          <w:rFonts w:ascii="Times New Roman" w:cs="Times New Roman" w:eastAsia="Times New Roman" w:hAnsi="Times New Roman"/>
          <w:b/>
          <w:bCs/>
          <w:sz w:val="22"/>
          <w:szCs w:val="22"/>
        </w:rPr>
        <w:t>volume là volume thật</w:t>
      </w:r>
      <w:r>
        <w:rPr>
          <w:rFonts w:ascii="Times New Roman" w:cs="Times New Roman" w:eastAsia="Times New Roman" w:hAnsi="Times New Roman"/>
          <w:sz w:val="22"/>
          <w:szCs w:val="22"/>
        </w:rPr>
        <w:t>. Nhóm đã thử lần lượt bốn nguồn: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760"/>
        <w:gridCol w:w="2200"/>
      </w:tblGrid>
      <w:tr>
        <w:trPr>
          <w:tblHeader/>
        </w:trPr>
        <w:tc>
          <w:tcPr>
            <w:tcW w:type="dxa" w:w="24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Nguồn</w:t>
            </w:r>
          </w:p>
        </w:tc>
        <w:tc>
          <w:tcPr>
            <w:tcW w:type="dxa" w:w="47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Kết quả thử</w:t>
            </w:r>
          </w:p>
        </w:tc>
        <w:tc>
          <w:tcPr>
            <w:tcW w:type="dxa" w:w="22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Kết luận</w:t>
            </w:r>
          </w:p>
        </w:tc>
      </w:tr>
      <w:tr>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MetaTrader 5 (Exness, VT Markets)</w:t>
            </w:r>
          </w:p>
        </w:tc>
        <w:tc>
          <w:tcPr>
            <w:tcW w:type="dxa" w:w="4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Kết nối terminal không ổn định; lịch sử máy chủ ngắn; giờ máy chủ GMT+2/+3 theo lịch giờ mùa hè Mỹ</w:t>
            </w:r>
          </w:p>
        </w:tc>
        <w:tc>
          <w:tcPr>
            <w:tcW w:type="dxa" w:w="2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dùng làm nguồn chính</w:t>
            </w:r>
          </w:p>
        </w:tc>
      </w:tr>
      <w:tr>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TradingView (OANDA:XAUUSD)</w:t>
            </w:r>
          </w:p>
        </w:tc>
        <w:tc>
          <w:tcPr>
            <w:tcW w:type="dxa" w:w="4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đăng nhập chỉ lấy được khoảng 10.000 nến gần nhất mỗi khung (H1 ≈ 1,7 năm)</w:t>
            </w:r>
          </w:p>
        </w:tc>
        <w:tc>
          <w:tcPr>
            <w:tcW w:type="dxa" w:w="2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đủ 2015 – 2025</w:t>
            </w:r>
          </w:p>
        </w:tc>
      </w:tr>
      <w:tr>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forexsb (tổng hợp từ Dukascopy)</w:t>
            </w:r>
          </w:p>
        </w:tc>
        <w:tc>
          <w:tcPr>
            <w:tcW w:type="dxa" w:w="4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 xml:space="preserve">Cột volume thực chất là </w:t>
            </w:r>
            <w:r>
              <w:rPr>
                <w:rFonts w:ascii="Times New Roman" w:cs="Times New Roman" w:eastAsia="Times New Roman" w:hAnsi="Times New Roman"/>
                <w:b/>
                <w:bCs/>
                <w:sz w:val="20"/>
                <w:szCs w:val="20"/>
              </w:rPr>
              <w:t>số phút có giao dịch</w:t>
            </w:r>
            <w:r>
              <w:rPr>
                <w:rFonts w:ascii="Times New Roman" w:cs="Times New Roman" w:eastAsia="Times New Roman" w:hAnsi="Times New Roman"/>
                <w:sz w:val="20"/>
                <w:szCs w:val="20"/>
              </w:rPr>
              <w:t xml:space="preserve"> trong nến (M30 luôn quanh 30), không phải khối lượng</w:t>
            </w:r>
          </w:p>
        </w:tc>
        <w:tc>
          <w:tcPr>
            <w:tcW w:type="dxa" w:w="2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Loại bỏ</w:t>
            </w:r>
          </w:p>
        </w:tc>
      </w:tr>
      <w:tr>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Dukascopy datafeed</w:t>
            </w:r>
          </w:p>
        </w:tc>
        <w:tc>
          <w:tcPr>
            <w:tcW w:type="dxa" w:w="4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Nến M1 theo ngày từ trước 2015, giá Bid/Ask, volume thật, giờ UTC</w:t>
            </w:r>
          </w:p>
        </w:tc>
        <w:tc>
          <w:tcPr>
            <w:tcW w:type="dxa" w:w="2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Chọn làm nguồn chính</w:t>
            </w:r>
          </w:p>
        </w:tc>
      </w:tr>
    </w:tbl>
    <w:p>
      <w:pPr>
        <w:spacing w:after="180" w:before="70"/>
        <w:jc w:val="center"/>
      </w:pPr>
      <w:r>
        <w:rPr>
          <w:rFonts w:ascii="Times New Roman" w:cs="Times New Roman" w:eastAsia="Times New Roman" w:hAnsi="Times New Roman"/>
          <w:i/>
          <w:iCs/>
          <w:color w:val="555555"/>
          <w:sz w:val="19"/>
          <w:szCs w:val="19"/>
        </w:rPr>
        <w:t>Bảng 3.1 — Bốn nguồn dữ liệu đã thử và lý do lựa chọn</w:t>
      </w:r>
    </w:p>
    <w:p>
      <w:pPr>
        <w:pStyle w:val="Heading2"/>
        <w:spacing w:after="140" w:before="260"/>
      </w:pPr>
      <w:r>
        <w:rPr>
          <w:rFonts w:ascii="Times New Roman" w:cs="Times New Roman" w:eastAsia="Times New Roman" w:hAnsi="Times New Roman"/>
          <w:b/>
          <w:bCs/>
          <w:color w:val="2E5496"/>
          <w:sz w:val="25"/>
          <w:szCs w:val="25"/>
        </w:rPr>
        <w:t>3.2. Cơ chế tải và gộp khung</w:t>
      </w:r>
    </w:p>
    <w:p>
      <w:pPr>
        <w:spacing w:after="140" w:line="300"/>
        <w:jc w:val="both"/>
      </w:pPr>
      <w:r>
        <w:rPr>
          <w:rFonts w:ascii="Times New Roman" w:cs="Times New Roman" w:eastAsia="Times New Roman" w:hAnsi="Times New Roman"/>
          <w:sz w:val="22"/>
          <w:szCs w:val="22"/>
        </w:rPr>
        <w:t>Dukascopy lưu mỗi ngày giao dịch thành một tệp `BID_candles_min_1.bi5`, nén LZMA, mỗi nến M1 gồm 24 byte: số giây kể từ 00:00 UTC, open, close, low, high (số nguyên, chia 1.000 ra USD) và volume. Tháng trong đường dẫn được đếm từ 0. Những phút không có giao dịch được máy chủ điền nến phẳng với volume bằng 0 và bị loại ngay khi giải mã. Từ chuỗi M1, các khung lớn được gộp theo quy tắc chuẩn: open đầu, high lớn nhất, low nhỏ nhất, close cuối, volume cộng dồn.</w:t>
      </w:r>
    </w:p>
    <w:p>
      <w:pPr>
        <w:spacing w:after="140" w:before="100"/>
        <w:jc w:val="center"/>
      </w:pPr>
      <w:r>
        <w:rPr>
          <w:rFonts w:ascii="Cambria Math" w:cs="Cambria Math" w:eastAsia="Cambria Math" w:hAnsi="Cambria Math"/>
          <w:i/>
          <w:iCs/>
          <w:sz w:val="22"/>
          <w:szCs w:val="22"/>
        </w:rPr>
        <w:t>Giá (USD/oz) = giá nguyên ÷ 1.000;   Nến D1 = phiên 22:00 UTC → 22:00 UTC hôm sau</w:t>
      </w:r>
    </w:p>
    <w:p>
      <w:pPr>
        <w:spacing w:after="140" w:line="300"/>
        <w:jc w:val="both"/>
      </w:pPr>
      <w:r>
        <w:rPr>
          <w:rFonts w:ascii="Times New Roman" w:cs="Times New Roman" w:eastAsia="Times New Roman" w:hAnsi="Times New Roman"/>
          <w:sz w:val="22"/>
          <w:szCs w:val="22"/>
        </w:rPr>
        <w:t xml:space="preserve">Nến D1 được gộp theo </w:t>
      </w:r>
      <w:r>
        <w:rPr>
          <w:rFonts w:ascii="Times New Roman" w:cs="Times New Roman" w:eastAsia="Times New Roman" w:hAnsi="Times New Roman"/>
          <w:b/>
          <w:bCs/>
          <w:sz w:val="22"/>
          <w:szCs w:val="22"/>
        </w:rPr>
        <w:t>phiên ngoại hối 22:00 UTC</w:t>
      </w:r>
      <w:r>
        <w:rPr>
          <w:rFonts w:ascii="Times New Roman" w:cs="Times New Roman" w:eastAsia="Times New Roman" w:hAnsi="Times New Roman"/>
          <w:sz w:val="22"/>
          <w:szCs w:val="22"/>
        </w:rPr>
        <w:t>, không theo nửa đêm. Gộp theo nửa đêm sẽ sinh ra một nến D1 giả chỉ dài một – hai giờ vào tối Chủ nhật, làm méo mọi chỉ báo khung ngày.</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Giải mã một tệp ngày của Dukascopy (rút gọn từ cao_du_lieu_dukascopy.py)</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DTYPE = np.dtype([("t", "&gt;i4"), ("o", "&gt;i4"), ("c", "&gt;i4"), ("l", "&gt;i4"), ("h", "&gt;i4"), ("v", "&gt;f4")])</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raw = lzma.decompress(noi_dung)</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a = np.frombuffer(raw[:len(raw) - len(raw) % 24], dtype=DTYPE)</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d = pd.DataFrame({"time": pd.Timestamp(ngay) + pd.to_timedelta(a["t"], unit="s"),</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"open": a["o"] / 1000, "high": a["h"] / 1000, "low": a["l"] / 1000,</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"close": a["c"] / 1000, "volume": a["v"]})</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d = d[d["volume"] &gt; 0]          # phút không có giao dịch → bỏ</w:t>
      </w:r>
    </w:p>
    <w:p>
      <w:pPr>
        <w:spacing w:after="80"/>
      </w:pPr>
    </w:p>
    <w:p>
      <w:pPr>
        <w:pStyle w:val="Heading2"/>
        <w:spacing w:after="140" w:before="260"/>
      </w:pPr>
      <w:r>
        <w:rPr>
          <w:rFonts w:ascii="Times New Roman" w:cs="Times New Roman" w:eastAsia="Times New Roman" w:hAnsi="Times New Roman"/>
          <w:b/>
          <w:bCs/>
          <w:color w:val="2E5496"/>
          <w:sz w:val="25"/>
          <w:szCs w:val="25"/>
        </w:rPr>
        <w:t>3.3. Kiểm soát chất lượng ngay khi tải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000"/>
        <w:gridCol w:w="3460"/>
      </w:tblGrid>
      <w:tr>
        <w:trPr>
          <w:tblHeader/>
        </w:trPr>
        <w:tc>
          <w:tcPr>
            <w:tcW w:type="dxa" w:w="1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Cơ chế</w:t>
            </w:r>
          </w:p>
        </w:tc>
        <w:tc>
          <w:tcPr>
            <w:tcW w:type="dxa" w:w="40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Cách làm</w:t>
            </w:r>
          </w:p>
        </w:tc>
        <w:tc>
          <w:tcPr>
            <w:tcW w:type="dxa" w:w="34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Mục đích</w:t>
            </w:r>
          </w:p>
        </w:tc>
      </w:tr>
      <w:tr>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Tự kiểm tra giá</w:t>
            </w:r>
          </w:p>
        </w:tc>
        <w:tc>
          <w:tcPr>
            <w:tcW w:type="dxa" w:w="4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Giá vàng 2015 – 2025 phải nằm trong 1.000 – 5.000 USD</w:t>
            </w:r>
          </w:p>
        </w:tc>
        <w:tc>
          <w:tcPr>
            <w:tcW w:type="dxa" w:w="34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Chặn lỗi hệ số chia giá (ví dụ chia 100 thay vì 1.000)</w:t>
            </w:r>
          </w:p>
        </w:tc>
      </w:tr>
      <w:tr>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Tự kiểm tra giờ</w:t>
            </w:r>
          </w:p>
        </w:tc>
        <w:tc>
          <w:tcPr>
            <w:tcW w:type="dxa" w:w="4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 80 % số tuần phải mở cửa vào tối Chủ nhật 21 – 23 giờ UTC</w:t>
            </w:r>
          </w:p>
        </w:tc>
        <w:tc>
          <w:tcPr>
            <w:tcW w:type="dxa" w:w="34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Chặn lỗi lệch múi giờ</w:t>
            </w:r>
          </w:p>
        </w:tc>
      </w:tr>
      <w:tr>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Giới hạn tốc độ</w:t>
            </w:r>
          </w:p>
        </w:tc>
        <w:tc>
          <w:tcPr>
            <w:tcW w:type="dxa" w:w="4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Tối đa 10 yêu cầu/giây cho mọi luồng</w:t>
            </w:r>
          </w:p>
        </w:tc>
        <w:tc>
          <w:tcPr>
            <w:tcW w:type="dxa" w:w="34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Lần chạy ~20 yêu cầu/giây bị máy chủ từ chối sau ~3.200 tệp</w:t>
            </w:r>
          </w:p>
        </w:tc>
      </w:tr>
      <w:tr>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Thử lại có giãn cách</w:t>
            </w:r>
          </w:p>
        </w:tc>
        <w:tc>
          <w:tcPr>
            <w:tcW w:type="dxa" w:w="4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Chờ kết nối 10 giây, dữ liệu 20 giây; tối đa 8 lần</w:t>
            </w:r>
          </w:p>
        </w:tc>
        <w:tc>
          <w:tcPr>
            <w:tcW w:type="dxa" w:w="34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Bỏ kết nối treo thay vì chờ 60 giây</w:t>
            </w:r>
          </w:p>
        </w:tc>
      </w:tr>
      <w:tr>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Lưu theo tháng</w:t>
            </w:r>
          </w:p>
        </w:tc>
        <w:tc>
          <w:tcPr>
            <w:tcW w:type="dxa" w:w="4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Mỗi tháng tải xong ghi một tệp trên Google Drive</w:t>
            </w:r>
          </w:p>
        </w:tc>
        <w:tc>
          <w:tcPr>
            <w:tcW w:type="dxa" w:w="34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Mất phiên Colab vẫn chạy tiếp, không tải lại</w:t>
            </w:r>
          </w:p>
        </w:tc>
      </w:tr>
      <w:tr>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Tệp rỗng nghi vấn</w:t>
            </w:r>
          </w:p>
        </w:tc>
        <w:tc>
          <w:tcPr>
            <w:tcW w:type="dxa" w:w="4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Máy chủ trả rỗng 3 lần → đánh dấu, không lưu tháng đó</w:t>
            </w:r>
          </w:p>
        </w:tc>
        <w:tc>
          <w:tcPr>
            <w:tcW w:type="dxa" w:w="34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âm thầm mất một ngày dữ liệu</w:t>
            </w:r>
          </w:p>
        </w:tc>
      </w:tr>
    </w:tbl>
    <w:p>
      <w:pPr>
        <w:spacing w:after="180" w:before="70"/>
        <w:jc w:val="center"/>
      </w:pPr>
      <w:r>
        <w:rPr>
          <w:rFonts w:ascii="Times New Roman" w:cs="Times New Roman" w:eastAsia="Times New Roman" w:hAnsi="Times New Roman"/>
          <w:i/>
          <w:iCs/>
          <w:color w:val="555555"/>
          <w:sz w:val="19"/>
          <w:szCs w:val="19"/>
        </w:rPr>
        <w:t>Bảng 3.2 — Các cơ chế kiểm soát chất lượng tích hợp trong bước tải dữ liệu</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BÀI HỌC VỀ CỘT VOLUME</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 xml:space="preserve">Một bộ dữ liệu có cột tên </w:t>
      </w:r>
      <w:r>
        <w:rPr>
          <w:rFonts w:ascii="Times New Roman" w:cs="Times New Roman" w:eastAsia="Times New Roman" w:hAnsi="Times New Roman"/>
          <w:i/>
          <w:iCs/>
          <w:sz w:val="22"/>
          <w:szCs w:val="22"/>
        </w:rPr>
        <w:t>volume</w:t>
      </w:r>
      <w:r>
        <w:rPr>
          <w:rFonts w:ascii="Times New Roman" w:cs="Times New Roman" w:eastAsia="Times New Roman" w:hAnsi="Times New Roman"/>
          <w:sz w:val="22"/>
          <w:szCs w:val="22"/>
        </w:rPr>
        <w:t xml:space="preserve"> chưa chắc chứa khối lượng. Với nguồn forexsb, trung vị volume khung M30 đúng bằng 30 — tức số phút có giao dịch trong nến. Nếu đưa cột này vào mô hình như khối lượng, mọi đặc trưng liên quan tới thanh khoản đều sai mà không có cảnh báo nào.</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Quy tắc rút ra: trước khi dùng một nguồn dữ liệu, kiểm tra phân phối của từng cột, không chỉ kiểm tra tên cột.</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4. LÀM SẠCH DỮ LIỆU VÀ CHUẨN HÓA THỜI GIAN</w:t>
      </w:r>
    </w:p>
    <w:p>
      <w:pPr>
        <w:pStyle w:val="Heading2"/>
        <w:spacing w:after="140" w:before="260"/>
      </w:pPr>
      <w:r>
        <w:rPr>
          <w:rFonts w:ascii="Times New Roman" w:cs="Times New Roman" w:eastAsia="Times New Roman" w:hAnsi="Times New Roman"/>
          <w:b/>
          <w:bCs/>
          <w:color w:val="2E5496"/>
          <w:sz w:val="25"/>
          <w:szCs w:val="25"/>
        </w:rPr>
        <w:t>4.1. Nguyên tắc: không tự tạo ra giá</w:t>
      </w:r>
    </w:p>
    <w:p>
      <w:pPr>
        <w:spacing w:after="140" w:line="300"/>
        <w:jc w:val="both"/>
      </w:pPr>
      <w:r>
        <w:rPr>
          <w:rFonts w:ascii="Times New Roman" w:cs="Times New Roman" w:eastAsia="Times New Roman" w:hAnsi="Times New Roman"/>
          <w:sz w:val="22"/>
          <w:szCs w:val="22"/>
        </w:rPr>
        <w:t xml:space="preserve">Nguyên tắc xuyên suốt của bước làm sạch là </w:t>
      </w:r>
      <w:r>
        <w:rPr>
          <w:rFonts w:ascii="Times New Roman" w:cs="Times New Roman" w:eastAsia="Times New Roman" w:hAnsi="Times New Roman"/>
          <w:b/>
          <w:bCs/>
          <w:sz w:val="22"/>
          <w:szCs w:val="22"/>
        </w:rPr>
        <w:t>không có bước nào tự tạo ra một mức giá không tồn tại</w:t>
      </w:r>
      <w:r>
        <w:rPr>
          <w:rFonts w:ascii="Times New Roman" w:cs="Times New Roman" w:eastAsia="Times New Roman" w:hAnsi="Times New Roman"/>
          <w:sz w:val="22"/>
          <w:szCs w:val="22"/>
        </w:rPr>
        <w:t>. Dòng hỏng thì bỏ, nến sai cấu trúc thì sửa trong phạm vi giá đã quan sát, khoảng trống thì chỉ đánh dấu. Việc điền nến giả hay nội suy — dù trông hợp lý — sẽ tạo lợi suất bằng 0 không có thật, làm lệch độ biến động, các chỉ báo RSI, ATR và cả nhãn Triple Barrier.</w:t>
      </w:r>
    </w:p>
    <w:p>
      <w:pPr>
        <w:pStyle w:val="Heading2"/>
        <w:spacing w:after="140" w:before="260"/>
      </w:pPr>
      <w:r>
        <w:rPr>
          <w:rFonts w:ascii="Times New Roman" w:cs="Times New Roman" w:eastAsia="Times New Roman" w:hAnsi="Times New Roman"/>
          <w:b/>
          <w:bCs/>
          <w:color w:val="2E5496"/>
          <w:sz w:val="25"/>
          <w:szCs w:val="25"/>
        </w:rPr>
        <w:t>4.2. Sáu bước làm sạch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6360"/>
      </w:tblGrid>
      <w:tr>
        <w:trPr>
          <w:tblHeader/>
        </w:trPr>
        <w:tc>
          <w:tcPr>
            <w:tcW w:type="dxa" w:w="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Bước</w:t>
            </w:r>
          </w:p>
        </w:tc>
        <w:tc>
          <w:tcPr>
            <w:tcW w:type="dxa" w:w="23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Nội dung</w:t>
            </w:r>
          </w:p>
        </w:tc>
        <w:tc>
          <w:tcPr>
            <w:tcW w:type="dxa" w:w="63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Cách xử lý</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1</w:t>
            </w:r>
          </w:p>
        </w:tc>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Chuẩn hóa ngày giờ</w:t>
            </w:r>
          </w:p>
        </w:tc>
        <w:tc>
          <w:tcPr>
            <w:tcW w:type="dxa" w:w="6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Đưa về UTC không kèm múi giờ; tự nhận dạng ngày-trước/tháng-trước; căn nến về đúng mốc của khung; bỏ nến thứ Bảy; thêm cột ngay_giao_dich</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w:t>
            </w:r>
          </w:p>
        </w:tc>
        <w:tc>
          <w:tcPr>
            <w:tcW w:type="dxa" w:w="2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Bản ghi trùng lặp</w:t>
            </w:r>
          </w:p>
        </w:tc>
        <w:tc>
          <w:tcPr>
            <w:tcW w:type="dxa" w:w="6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Trùng hoàn toàn → bỏ; cùng thời điểm khác giá → giữ bản đầu, ghi báo cáo</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3a</w:t>
            </w:r>
          </w:p>
        </w:tc>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Ô trống, giá ≤ 0</w:t>
            </w:r>
          </w:p>
        </w:tc>
        <w:tc>
          <w:tcPr>
            <w:tcW w:type="dxa" w:w="6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Bỏ cả dòng (không lấy Close thay O/H/L); chỗ trống thành khoảng trống được gắn cờ</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3b</w:t>
            </w:r>
          </w:p>
        </w:tc>
        <w:tc>
          <w:tcPr>
            <w:tcW w:type="dxa" w:w="2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Thị trường đóng cửa</w:t>
            </w:r>
          </w:p>
        </w:tc>
        <w:tc>
          <w:tcPr>
            <w:tcW w:type="dxa" w:w="6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Cuối tuần, ngày lễ, nghỉ hằng ngày — không điền, chỉ đánh dấu loại</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3c</w:t>
            </w:r>
          </w:p>
        </w:tc>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Mất nến giữa phiên</w:t>
            </w:r>
          </w:p>
        </w:tc>
        <w:tc>
          <w:tcPr>
            <w:tcW w:type="dxa" w:w="6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điền; gắn cờ khoang_trong = 1 và liệt kê trong báo cáo</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4</w:t>
            </w:r>
          </w:p>
        </w:tc>
        <w:tc>
          <w:tcPr>
            <w:tcW w:type="dxa" w:w="2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Sai cấu trúc OHLC</w:t>
            </w:r>
          </w:p>
        </w:tc>
        <w:tc>
          <w:tcPr>
            <w:tcW w:type="dxa" w:w="6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High = max(O, H, L, C), Low = min(O, H, L, C); gắn cờ da_sua = 1</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6</w:t>
            </w:r>
          </w:p>
        </w:tc>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Kiểm tra chéo giữa các khung</w:t>
            </w:r>
          </w:p>
        </w:tc>
        <w:tc>
          <w:tcPr>
            <w:tcW w:type="dxa" w:w="6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Gộp H1 lên H4, D1 phải khớp đúng tệp khung lớn</w:t>
            </w:r>
          </w:p>
        </w:tc>
      </w:tr>
    </w:tbl>
    <w:p>
      <w:pPr>
        <w:spacing w:after="180" w:before="70"/>
        <w:jc w:val="center"/>
      </w:pPr>
      <w:r>
        <w:rPr>
          <w:rFonts w:ascii="Times New Roman" w:cs="Times New Roman" w:eastAsia="Times New Roman" w:hAnsi="Times New Roman"/>
          <w:i/>
          <w:iCs/>
          <w:color w:val="555555"/>
          <w:sz w:val="19"/>
          <w:szCs w:val="19"/>
        </w:rPr>
        <w:t>Bảng 4.1 — Sáu bước làm sạch dữ liệu và cách xử lý đã thống nhất</w:t>
      </w:r>
    </w:p>
    <w:p>
      <w:pPr>
        <w:pStyle w:val="Heading2"/>
        <w:spacing w:after="140" w:before="260"/>
      </w:pPr>
      <w:r>
        <w:rPr>
          <w:rFonts w:ascii="Times New Roman" w:cs="Times New Roman" w:eastAsia="Times New Roman" w:hAnsi="Times New Roman"/>
          <w:b/>
          <w:bCs/>
          <w:color w:val="2E5496"/>
          <w:sz w:val="25"/>
          <w:szCs w:val="25"/>
        </w:rPr>
        <w:t>4.3. Phân loại khoảng trống</w:t>
      </w:r>
    </w:p>
    <w:p>
      <w:pPr>
        <w:spacing w:after="140" w:line="300"/>
        <w:jc w:val="both"/>
      </w:pPr>
      <w:r>
        <w:rPr>
          <w:rFonts w:ascii="Times New Roman" w:cs="Times New Roman" w:eastAsia="Times New Roman" w:hAnsi="Times New Roman"/>
          <w:sz w:val="22"/>
          <w:szCs w:val="22"/>
        </w:rPr>
        <w:t>Vàng không giao dịch 24/7, nên khoảng cách giữa hai nến liền nhau lớn hơn một bước khung không phải lúc nào cũng là dữ liệu thiếu. Mỗi khoảng trống được phân loại theo thứ tự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160"/>
        <w:gridCol w:w="2400"/>
      </w:tblGrid>
      <w:tr>
        <w:trPr>
          <w:tblHeader/>
        </w:trPr>
        <w:tc>
          <w:tcPr>
            <w:tcW w:type="dxa" w:w="18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Loại</w:t>
            </w:r>
          </w:p>
        </w:tc>
        <w:tc>
          <w:tcPr>
            <w:tcW w:type="dxa" w:w="51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Nhận biết</w:t>
            </w:r>
          </w:p>
        </w:tc>
        <w:tc>
          <w:tcPr>
            <w:tcW w:type="dxa" w:w="24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Xử lý</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cuoi_tuan</w:t>
            </w:r>
          </w:p>
        </w:tc>
        <w:tc>
          <w:tcPr>
            <w:tcW w:type="dxa" w:w="51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Khoảng thiếu có chứa ngày thứ Bảy</w:t>
            </w:r>
          </w:p>
        </w:tc>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đánh dấu</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ngay_le</w:t>
            </w:r>
          </w:p>
        </w:tc>
        <w:tc>
          <w:tcPr>
            <w:tcW w:type="dxa" w:w="51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Chạm 24 – 26/12, 31/12 – 2/1, Thứ Sáu Tuần Thánh, ngày lễ liên bang Mỹ, Thứ Sáu sau Lễ Tạ ơn</w:t>
            </w:r>
          </w:p>
        </w:tc>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đánh dấu</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nghi_hang_ngay</w:t>
            </w:r>
          </w:p>
        </w:tc>
        <w:tc>
          <w:tcPr>
            <w:tcW w:type="dxa" w:w="51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Bắt đầu từ 20:00 UTC trở đi và dài không quá 3 giờ</w:t>
            </w:r>
          </w:p>
        </w:tc>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đánh dấu</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bat_thuong</w:t>
            </w:r>
          </w:p>
        </w:tc>
        <w:tc>
          <w:tcPr>
            <w:tcW w:type="dxa" w:w="51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Mọi khoảng còn lại — mất nến giữa phiên giao dịch</w:t>
            </w:r>
          </w:p>
        </w:tc>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Gắn cờ khoang_trong = 1, liệt kê</w:t>
            </w:r>
          </w:p>
        </w:tc>
      </w:tr>
    </w:tbl>
    <w:p>
      <w:pPr>
        <w:spacing w:after="180" w:before="70"/>
        <w:jc w:val="center"/>
      </w:pPr>
      <w:r>
        <w:rPr>
          <w:rFonts w:ascii="Times New Roman" w:cs="Times New Roman" w:eastAsia="Times New Roman" w:hAnsi="Times New Roman"/>
          <w:i/>
          <w:iCs/>
          <w:color w:val="555555"/>
          <w:sz w:val="19"/>
          <w:szCs w:val="19"/>
        </w:rPr>
        <w:t>Bảng 4.2 — Bốn loại khoảng trống và cách xử lý</w:t>
      </w:r>
    </w:p>
    <w:p>
      <w:pPr>
        <w:pStyle w:val="Heading2"/>
        <w:spacing w:after="140" w:before="260"/>
      </w:pPr>
      <w:r>
        <w:rPr>
          <w:rFonts w:ascii="Times New Roman" w:cs="Times New Roman" w:eastAsia="Times New Roman" w:hAnsi="Times New Roman"/>
          <w:b/>
          <w:bCs/>
          <w:color w:val="2E5496"/>
          <w:sz w:val="25"/>
          <w:szCs w:val="25"/>
        </w:rPr>
        <w:t>4.4. Kết quả làm sạch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80"/>
        <w:gridCol w:w="760"/>
        <w:gridCol w:w="820"/>
        <w:gridCol w:w="900"/>
        <w:gridCol w:w="1000"/>
        <w:gridCol w:w="900"/>
        <w:gridCol w:w="1000"/>
        <w:gridCol w:w="1000"/>
        <w:gridCol w:w="1200"/>
      </w:tblGrid>
      <w:tr>
        <w:trPr>
          <w:tblHeader/>
        </w:trPr>
        <w:tc>
          <w:tcPr>
            <w:tcW w:type="dxa" w:w="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Khung</w:t>
            </w:r>
          </w:p>
        </w:tc>
        <w:tc>
          <w:tcPr>
            <w:tcW w:type="dxa" w:w="108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Dòng vào</w:t>
            </w:r>
          </w:p>
        </w:tc>
        <w:tc>
          <w:tcPr>
            <w:tcW w:type="dxa" w:w="7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Trùng</w:t>
            </w:r>
          </w:p>
        </w:tc>
        <w:tc>
          <w:tcPr>
            <w:tcW w:type="dxa" w:w="82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Ô trống</w:t>
            </w:r>
          </w:p>
        </w:tc>
        <w:tc>
          <w:tcPr>
            <w:tcW w:type="dxa" w:w="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Sửa OHLC</w:t>
            </w:r>
          </w:p>
        </w:tc>
        <w:tc>
          <w:tcPr>
            <w:tcW w:type="dxa" w:w="10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Cuối tuần</w:t>
            </w:r>
          </w:p>
        </w:tc>
        <w:tc>
          <w:tcPr>
            <w:tcW w:type="dxa" w:w="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Ngày lễ</w:t>
            </w:r>
          </w:p>
        </w:tc>
        <w:tc>
          <w:tcPr>
            <w:tcW w:type="dxa" w:w="10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Nghỉ ngày</w:t>
            </w:r>
          </w:p>
        </w:tc>
        <w:tc>
          <w:tcPr>
            <w:tcW w:type="dxa" w:w="10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Bất thường</w:t>
            </w:r>
          </w:p>
        </w:tc>
        <w:tc>
          <w:tcPr>
            <w:tcW w:type="dxa" w:w="12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Dòng ra</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H1</w:t>
            </w:r>
          </w:p>
        </w:tc>
        <w:tc>
          <w:tcPr>
            <w:tcW w:type="dxa" w:w="10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65.125</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574</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103</w:t>
            </w:r>
          </w:p>
        </w:tc>
        <w:tc>
          <w:tcPr>
            <w:tcW w:type="dxa" w:w="1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2.038</w:t>
            </w:r>
          </w:p>
        </w:tc>
        <w:tc>
          <w:tcPr>
            <w:tcW w:type="dxa" w:w="1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65.125</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H4</w:t>
            </w:r>
          </w:p>
        </w:tc>
        <w:tc>
          <w:tcPr>
            <w:tcW w:type="dxa" w:w="10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17.588</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574</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7</w:t>
            </w:r>
          </w:p>
        </w:tc>
        <w:tc>
          <w:tcPr>
            <w:tcW w:type="dxa" w:w="1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17.588</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D1</w:t>
            </w:r>
          </w:p>
        </w:tc>
        <w:tc>
          <w:tcPr>
            <w:tcW w:type="dxa" w:w="10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2.838</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574</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7</w:t>
            </w:r>
          </w:p>
        </w:tc>
        <w:tc>
          <w:tcPr>
            <w:tcW w:type="dxa" w:w="1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2.838</w:t>
            </w:r>
          </w:p>
        </w:tc>
      </w:tr>
    </w:tbl>
    <w:p>
      <w:pPr>
        <w:spacing w:after="180" w:before="70"/>
        <w:jc w:val="center"/>
      </w:pPr>
      <w:r>
        <w:rPr>
          <w:rFonts w:ascii="Times New Roman" w:cs="Times New Roman" w:eastAsia="Times New Roman" w:hAnsi="Times New Roman"/>
          <w:i/>
          <w:iCs/>
          <w:color w:val="555555"/>
          <w:sz w:val="19"/>
          <w:szCs w:val="19"/>
        </w:rPr>
        <w:t>Bảng 4.3 — Kết quả làm sạch bộ dữ liệu dùng trong báo cáo (khung H1 và các khung gộp từ H1)</w:t>
      </w:r>
    </w:p>
    <w:p>
      <w:pPr>
        <w:spacing w:after="140" w:line="300"/>
        <w:jc w:val="both"/>
      </w:pPr>
      <w:r>
        <w:rPr>
          <w:rFonts w:ascii="Times New Roman" w:cs="Times New Roman" w:eastAsia="Times New Roman" w:hAnsi="Times New Roman"/>
          <w:sz w:val="22"/>
          <w:szCs w:val="22"/>
        </w:rPr>
        <w:t>Bộ dữ liệu không có bản ghi trùng, ô trống hay nến sai cấu trúc OHLC. Toàn bộ khoảng trống là thị trường đóng cửa, trừ 3 lần mất nến giữa phiên ở khung H1 (mỗi lần một nến), được gắn cờ và giữ nguyên. Kiểm tra chéo cho 17.588 / 17.588 nến H4 và 2.838 / 2.838 nến D1 khớp tuyệt đối với H1 gộp lại.</w:t>
      </w:r>
    </w:p>
    <w:p>
      <w:pPr>
        <w:pStyle w:val="Heading2"/>
        <w:spacing w:after="140" w:before="260"/>
      </w:pPr>
      <w:r>
        <w:rPr>
          <w:rFonts w:ascii="Times New Roman" w:cs="Times New Roman" w:eastAsia="Times New Roman" w:hAnsi="Times New Roman"/>
          <w:b/>
          <w:bCs/>
          <w:color w:val="2E5496"/>
          <w:sz w:val="25"/>
          <w:szCs w:val="25"/>
        </w:rPr>
        <w:t>4.5. Nghiên cứu tình huống: khoảng trống ngày 06/05/2015</w:t>
      </w:r>
    </w:p>
    <w:p>
      <w:pPr>
        <w:spacing w:after="140" w:line="300"/>
        <w:jc w:val="both"/>
      </w:pPr>
      <w:r>
        <w:rPr>
          <w:rFonts w:ascii="Times New Roman" w:cs="Times New Roman" w:eastAsia="Times New Roman" w:hAnsi="Times New Roman"/>
          <w:sz w:val="22"/>
          <w:szCs w:val="22"/>
        </w:rPr>
        <w:t>Khi chạy bước làm sạch trên bộ M30 tải từ Colab, nhóm phát hiện một khoảng trống bất thường ngày 06/05/2015, từ 12:30 đến 13:30 UTC. Câu hỏi đặt ra: đây là lỗi dữ liệu hay thị trường thật sự không có giao dịch do một sự kiện? Đối chiếu số phút có dữ liệu trong từng nến M30 quanh thời điểm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200"/>
        <w:gridCol w:w="4960"/>
      </w:tblGrid>
      <w:tr>
        <w:trPr>
          <w:tblHeader/>
        </w:trPr>
        <w:tc>
          <w:tcPr>
            <w:tcW w:type="dxa" w:w="1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Nến M30 (UTC)</w:t>
            </w:r>
          </w:p>
        </w:tc>
        <w:tc>
          <w:tcPr>
            <w:tcW w:type="dxa" w:w="1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Số phút có dữ liệu</w:t>
            </w:r>
          </w:p>
        </w:tc>
        <w:tc>
          <w:tcPr>
            <w:tcW w:type="dxa" w:w="12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Close</w:t>
            </w:r>
          </w:p>
        </w:tc>
        <w:tc>
          <w:tcPr>
            <w:tcW w:type="dxa" w:w="49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Nhận xét</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12:00</w:t>
            </w:r>
          </w:p>
        </w:tc>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30 / 30</w:t>
            </w:r>
          </w:p>
        </w:tc>
        <w:tc>
          <w:tcPr>
            <w:tcW w:type="dxa" w:w="1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1.195,70</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Giá bật từ 1.188,7 lên 1.197,6 — phản ứng với báo cáo việc làm ADP lúc 12:15 UTC</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12:30</w:t>
            </w:r>
          </w:p>
        </w:tc>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 / 30</w:t>
            </w:r>
          </w:p>
        </w:tc>
        <w:tc>
          <w:tcPr>
            <w:tcW w:type="dxa" w:w="1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1.193,97</w:t>
            </w:r>
          </w:p>
        </w:tc>
        <w:tc>
          <w:tcPr>
            <w:tcW w:type="dxa" w:w="49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có phút 12:30 – 12:31</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13:00</w:t>
            </w:r>
          </w:p>
        </w:tc>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0 / 30</w:t>
            </w:r>
          </w:p>
        </w:tc>
        <w:tc>
          <w:tcPr>
            <w:tcW w:type="dxa" w:w="1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có nến</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13:30</w:t>
            </w:r>
          </w:p>
        </w:tc>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25 / 30</w:t>
            </w:r>
          </w:p>
        </w:tc>
        <w:tc>
          <w:tcPr>
            <w:tcW w:type="dxa" w:w="1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1.195,35</w:t>
            </w:r>
          </w:p>
        </w:tc>
        <w:tc>
          <w:tcPr>
            <w:tcW w:type="dxa" w:w="49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Dữ liệu quay lại từ khoảng 13:35</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14:00</w:t>
            </w:r>
          </w:p>
        </w:tc>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30 / 30</w:t>
            </w:r>
          </w:p>
        </w:tc>
        <w:tc>
          <w:tcPr>
            <w:tcW w:type="dxa" w:w="1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1.190,64</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Bình thường</w:t>
            </w:r>
          </w:p>
        </w:tc>
      </w:tr>
    </w:tbl>
    <w:p>
      <w:pPr>
        <w:spacing w:after="180" w:before="70"/>
        <w:jc w:val="center"/>
      </w:pPr>
      <w:r>
        <w:rPr>
          <w:rFonts w:ascii="Times New Roman" w:cs="Times New Roman" w:eastAsia="Times New Roman" w:hAnsi="Times New Roman"/>
          <w:i/>
          <w:iCs/>
          <w:color w:val="555555"/>
          <w:sz w:val="19"/>
          <w:szCs w:val="19"/>
        </w:rPr>
        <w:t>Bảng 4.4 — Số phút có dữ liệu quanh khoảng trống 06/05/2015</w:t>
      </w:r>
    </w:p>
    <w:p>
      <w:pPr>
        <w:spacing w:after="140" w:line="300"/>
        <w:jc w:val="both"/>
      </w:pPr>
      <w:r>
        <w:rPr>
          <w:rFonts w:ascii="Times New Roman" w:cs="Times New Roman" w:eastAsia="Times New Roman" w:hAnsi="Times New Roman"/>
          <w:sz w:val="22"/>
          <w:szCs w:val="22"/>
        </w:rPr>
        <w:t xml:space="preserve">Nguồn im lặng hoàn toàn khoảng 63 phút, rồi tiếp tục ở mức giá gần như cũ. 13:00 UTC tháng 5 là 9:00 sáng New York — giờ London và New York cùng mở, thanh khoản cao nhất trong ngày — và không có ghi nhận nào về việc thị trường vàng tạm ngừng. Tin tức (ADP, phát biểu của Chủ tịch Fed về định giá cổ phiếu cùng ngày) chỉ làm </w:t>
      </w:r>
      <w:r>
        <w:rPr>
          <w:rFonts w:ascii="Times New Roman" w:cs="Times New Roman" w:eastAsia="Times New Roman" w:hAnsi="Times New Roman"/>
          <w:b/>
          <w:bCs/>
          <w:sz w:val="22"/>
          <w:szCs w:val="22"/>
        </w:rPr>
        <w:t>tăng</w:t>
      </w:r>
      <w:r>
        <w:rPr>
          <w:rFonts w:ascii="Times New Roman" w:cs="Times New Roman" w:eastAsia="Times New Roman" w:hAnsi="Times New Roman"/>
          <w:sz w:val="22"/>
          <w:szCs w:val="22"/>
        </w:rPr>
        <w:t xml:space="preserve"> số giao dịch, không thể làm thị trường ngừng một giờ. Kết luận: đây gần như chắc chắn là </w:t>
      </w:r>
      <w:r>
        <w:rPr>
          <w:rFonts w:ascii="Times New Roman" w:cs="Times New Roman" w:eastAsia="Times New Roman" w:hAnsi="Times New Roman"/>
          <w:b/>
          <w:bCs/>
          <w:sz w:val="22"/>
          <w:szCs w:val="22"/>
        </w:rPr>
        <w:t>gián đoạn của nguồn cấp dữ liệu</w:t>
      </w:r>
      <w:r>
        <w:rPr>
          <w:rFonts w:ascii="Times New Roman" w:cs="Times New Roman" w:eastAsia="Times New Roman" w:hAnsi="Times New Roman"/>
          <w:sz w:val="22"/>
          <w:szCs w:val="22"/>
        </w:rPr>
        <w:t>. Xử lý theo đúng nguyên tắc: không điền, gắn cờ và ghi vào báo cáo; ảnh hưởng tới kết quả là không đáng kể (một khoảng trên hơn 130.000 nến M30).</w:t>
      </w:r>
    </w:p>
    <w:p>
      <w:r>
        <w:br w:type="page"/>
      </w:r>
    </w:p>
    <w:p>
      <w:pPr>
        <w:pStyle w:val="Heading1"/>
        <w:spacing w:after="200" w:before="240"/>
      </w:pPr>
      <w:r>
        <w:rPr>
          <w:rFonts w:ascii="Times New Roman" w:cs="Times New Roman" w:eastAsia="Times New Roman" w:hAnsi="Times New Roman"/>
          <w:b/>
          <w:bCs/>
          <w:color w:val="1F3864"/>
          <w:sz w:val="30"/>
          <w:szCs w:val="30"/>
        </w:rPr>
        <w:t>CHƯƠNG 5. NHÁNH PHÂN TÍCH KỸ THUẬT (NB1)</w:t>
      </w:r>
    </w:p>
    <w:p>
      <w:pPr>
        <w:pStyle w:val="Heading2"/>
        <w:spacing w:after="140" w:before="260"/>
      </w:pPr>
      <w:r>
        <w:rPr>
          <w:rFonts w:ascii="Times New Roman" w:cs="Times New Roman" w:eastAsia="Times New Roman" w:hAnsi="Times New Roman"/>
          <w:b/>
          <w:bCs/>
          <w:color w:val="2E5496"/>
          <w:sz w:val="25"/>
          <w:szCs w:val="25"/>
        </w:rPr>
        <w:t>5.1. Bộ chỉ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00"/>
        <w:gridCol w:w="3760"/>
      </w:tblGrid>
      <w:tr>
        <w:trPr>
          <w:tblHeader/>
        </w:trPr>
        <w:tc>
          <w:tcPr>
            <w:tcW w:type="dxa" w:w="1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Nhóm</w:t>
            </w:r>
          </w:p>
        </w:tc>
        <w:tc>
          <w:tcPr>
            <w:tcW w:type="dxa" w:w="3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Chỉ báo</w:t>
            </w:r>
          </w:p>
        </w:tc>
        <w:tc>
          <w:tcPr>
            <w:tcW w:type="dxa" w:w="37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Tham số</w:t>
            </w:r>
          </w:p>
        </w:tc>
      </w:tr>
      <w:tr>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Xu hướng</w:t>
            </w:r>
          </w:p>
        </w:tc>
        <w:tc>
          <w:tcPr>
            <w:tcW w:type="dxa" w:w="3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MA10, MA30, MA50, MA20; EMA12, EMA26</w:t>
            </w:r>
          </w:p>
        </w:tc>
        <w:tc>
          <w:tcPr>
            <w:tcW w:type="dxa" w:w="3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Trung bình trượt đơn giản và lũy thừa trên giá đóng cửa</w:t>
            </w:r>
          </w:p>
        </w:tc>
      </w:tr>
      <w:tr>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Động lượng</w:t>
            </w:r>
          </w:p>
        </w:tc>
        <w:tc>
          <w:tcPr>
            <w:tcW w:type="dxa" w:w="3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RSI14; MACD, đường tín hiệu, histogram</w:t>
            </w:r>
          </w:p>
        </w:tc>
        <w:tc>
          <w:tcPr>
            <w:tcW w:type="dxa" w:w="3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RSI 14 nến; MACD (12, 26, 9)</w:t>
            </w:r>
          </w:p>
        </w:tc>
      </w:tr>
      <w:tr>
        <w:tc>
          <w:tcPr>
            <w:tcW w:type="dxa" w:w="1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Biến động</w:t>
            </w:r>
          </w:p>
        </w:tc>
        <w:tc>
          <w:tcPr>
            <w:tcW w:type="dxa" w:w="3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Bollinger Bands; Volatility20</w:t>
            </w:r>
          </w:p>
        </w:tc>
        <w:tc>
          <w:tcPr>
            <w:tcW w:type="dxa" w:w="3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BB (20, 2σ); độ lệch chuẩn log-return 20 nến</w:t>
            </w:r>
          </w:p>
        </w:tc>
      </w:tr>
      <w:tr>
        <w:tc>
          <w:tcPr>
            <w:tcW w:type="dxa" w:w="1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Lợi suất</w:t>
            </w:r>
          </w:p>
        </w:tc>
        <w:tc>
          <w:tcPr>
            <w:tcW w:type="dxa" w:w="3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Return</w:t>
            </w:r>
          </w:p>
        </w:tc>
        <w:tc>
          <w:tcPr>
            <w:tcW w:type="dxa" w:w="3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ln(Close_t / Close_{t−1})</w:t>
            </w:r>
          </w:p>
        </w:tc>
      </w:tr>
    </w:tbl>
    <w:p>
      <w:pPr>
        <w:spacing w:after="180" w:before="70"/>
        <w:jc w:val="center"/>
      </w:pPr>
      <w:r>
        <w:rPr>
          <w:rFonts w:ascii="Times New Roman" w:cs="Times New Roman" w:eastAsia="Times New Roman" w:hAnsi="Times New Roman"/>
          <w:i/>
          <w:iCs/>
          <w:color w:val="555555"/>
          <w:sz w:val="19"/>
          <w:szCs w:val="19"/>
        </w:rPr>
        <w:t>Bảng 5.1 — Bộ chỉ báo kỹ thuật của NB1 (cũng là nguồn đặc trưng cho XGBoost)</w:t>
      </w:r>
    </w:p>
    <w:p>
      <w:pPr>
        <w:pStyle w:val="Heading2"/>
        <w:spacing w:after="140" w:before="260"/>
      </w:pPr>
      <w:r>
        <w:rPr>
          <w:rFonts w:ascii="Times New Roman" w:cs="Times New Roman" w:eastAsia="Times New Roman" w:hAnsi="Times New Roman"/>
          <w:b/>
          <w:bCs/>
          <w:color w:val="2E5496"/>
          <w:sz w:val="25"/>
          <w:szCs w:val="25"/>
        </w:rPr>
        <w:t>5.2. Ba luật và luật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900"/>
        <w:gridCol w:w="2900"/>
        <w:gridCol w:w="2560"/>
      </w:tblGrid>
      <w:tr>
        <w:trPr>
          <w:tblHeader/>
        </w:trPr>
        <w:tc>
          <w:tcPr>
            <w:tcW w:type="dxa" w:w="10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Nguồn</w:t>
            </w:r>
          </w:p>
        </w:tc>
        <w:tc>
          <w:tcPr>
            <w:tcW w:type="dxa" w:w="2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Dự báo Uptrend (1)</w:t>
            </w:r>
          </w:p>
        </w:tc>
        <w:tc>
          <w:tcPr>
            <w:tcW w:type="dxa" w:w="2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Dự báo Downtrend (−1)</w:t>
            </w:r>
          </w:p>
        </w:tc>
        <w:tc>
          <w:tcPr>
            <w:tcW w:type="dxa" w:w="25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Sideway (0)</w:t>
            </w:r>
          </w:p>
        </w:tc>
      </w:tr>
      <w:tr>
        <w:tc>
          <w:tcPr>
            <w:tcW w:type="dxa" w:w="1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MA10 &gt; MA30</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MA10 &lt; MA30</w:t>
            </w:r>
          </w:p>
        </w:tc>
        <w:tc>
          <w:tcPr>
            <w:tcW w:type="dxa" w:w="2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khi MA10 = MA30</w:t>
            </w:r>
          </w:p>
        </w:tc>
      </w:tr>
      <w:tr>
        <w:tc>
          <w:tcPr>
            <w:tcW w:type="dxa" w:w="1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RSI</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RSI14 &lt; 30 (quá bán)</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RSI14 &gt; 70 (quá mua)</w:t>
            </w:r>
          </w:p>
        </w:tc>
        <w:tc>
          <w:tcPr>
            <w:tcW w:type="dxa" w:w="2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30 ≤ RSI14 ≤ 70</w:t>
            </w:r>
          </w:p>
        </w:tc>
      </w:tr>
      <w:tr>
        <w:tc>
          <w:tcPr>
            <w:tcW w:type="dxa" w:w="1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MACD</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MACD cắt lên đường tín hiệu</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MACD cắt xuống đường tín hiệu</w:t>
            </w:r>
          </w:p>
        </w:tc>
        <w:tc>
          <w:tcPr>
            <w:tcW w:type="dxa" w:w="2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Mọi nến không có giao cắt</w:t>
            </w:r>
          </w:p>
        </w:tc>
      </w:tr>
      <w:tr>
        <w:tc>
          <w:tcPr>
            <w:tcW w:type="dxa" w:w="1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 2 / 3 luật dự báo uptrend</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 2 / 3 luật dự báo downtrend</w:t>
            </w:r>
          </w:p>
        </w:tc>
        <w:tc>
          <w:tcPr>
            <w:tcW w:type="dxa" w:w="2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Còn lại</w:t>
            </w:r>
          </w:p>
        </w:tc>
      </w:tr>
    </w:tbl>
    <w:p>
      <w:pPr>
        <w:spacing w:after="180" w:before="70"/>
        <w:jc w:val="center"/>
      </w:pPr>
      <w:r>
        <w:rPr>
          <w:rFonts w:ascii="Times New Roman" w:cs="Times New Roman" w:eastAsia="Times New Roman" w:hAnsi="Times New Roman"/>
          <w:i/>
          <w:iCs/>
          <w:color w:val="555555"/>
          <w:sz w:val="19"/>
          <w:szCs w:val="19"/>
        </w:rPr>
        <w:t>Bảng 5.2 — Luật chuyển chỉ báo thành dự báo xu hướng</w:t>
      </w:r>
    </w:p>
    <w:p>
      <w:pPr>
        <w:pStyle w:val="Heading2"/>
        <w:spacing w:after="140" w:before="260"/>
      </w:pPr>
      <w:r>
        <w:rPr>
          <w:rFonts w:ascii="Times New Roman" w:cs="Times New Roman" w:eastAsia="Times New Roman" w:hAnsi="Times New Roman"/>
          <w:b/>
          <w:bCs/>
          <w:color w:val="2E5496"/>
          <w:sz w:val="25"/>
          <w:szCs w:val="25"/>
        </w:rPr>
        <w:t>5.3. Đặc điểm dự báo trên giai đoạn kiểm 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1900"/>
        <w:gridCol w:w="1900"/>
        <w:gridCol w:w="2160"/>
      </w:tblGrid>
      <w:tr>
        <w:trPr>
          <w:tblHeader/>
        </w:trPr>
        <w:tc>
          <w:tcPr>
            <w:tcW w:type="dxa" w:w="1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Nguồn</w:t>
            </w:r>
          </w:p>
        </w:tc>
        <w:tc>
          <w:tcPr>
            <w:tcW w:type="dxa" w:w="1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Uptrend</w:t>
            </w:r>
          </w:p>
        </w:tc>
        <w:tc>
          <w:tcPr>
            <w:tcW w:type="dxa" w:w="1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Sideway</w:t>
            </w:r>
          </w:p>
        </w:tc>
        <w:tc>
          <w:tcPr>
            <w:tcW w:type="dxa" w:w="1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Downtrend</w:t>
            </w:r>
          </w:p>
        </w:tc>
        <w:tc>
          <w:tcPr>
            <w:tcW w:type="dxa" w:w="21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 nến có xu hướng</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19.277</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16.204</w:t>
            </w:r>
          </w:p>
        </w:tc>
        <w:tc>
          <w:tcPr>
            <w:tcW w:type="dxa" w:w="21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100,0%</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RSI</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4.110</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25.660</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5.711</w:t>
            </w:r>
          </w:p>
        </w:tc>
        <w:tc>
          <w:tcPr>
            <w:tcW w:type="dxa" w:w="21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27,7%</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MACD</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1.373</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32.736</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1.372</w:t>
            </w:r>
          </w:p>
        </w:tc>
        <w:tc>
          <w:tcPr>
            <w:tcW w:type="dxa" w:w="21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7,7%</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835</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33.854</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792</w:t>
            </w:r>
          </w:p>
        </w:tc>
        <w:tc>
          <w:tcPr>
            <w:tcW w:type="dxa" w:w="21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XGB</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338</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34.499</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644</w:t>
            </w:r>
          </w:p>
        </w:tc>
        <w:tc>
          <w:tcPr>
            <w:tcW w:type="dxa" w:w="21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2,8%</w:t>
            </w:r>
          </w:p>
        </w:tc>
      </w:tr>
    </w:tbl>
    <w:p>
      <w:pPr>
        <w:spacing w:after="180" w:before="70"/>
        <w:jc w:val="center"/>
      </w:pPr>
      <w:r>
        <w:rPr>
          <w:rFonts w:ascii="Times New Roman" w:cs="Times New Roman" w:eastAsia="Times New Roman" w:hAnsi="Times New Roman"/>
          <w:i/>
          <w:iCs/>
          <w:color w:val="555555"/>
          <w:sz w:val="19"/>
          <w:szCs w:val="19"/>
        </w:rPr>
        <w:t>Bảng 5.3 — Số nến H1 theo từng dự báo xu hướng, giai đoạn 2020 – 2025</w:t>
      </w:r>
    </w:p>
    <w:p>
      <w:pPr>
        <w:spacing w:after="140" w:line="300"/>
        <w:jc w:val="both"/>
      </w:pPr>
      <w:r>
        <w:rPr>
          <w:rFonts w:ascii="Times New Roman" w:cs="Times New Roman" w:eastAsia="Times New Roman" w:hAnsi="Times New Roman"/>
          <w:sz w:val="22"/>
          <w:szCs w:val="22"/>
        </w:rPr>
        <w:t xml:space="preserve">Năm nguồn có tính cách rất khác nhau. </w:t>
      </w:r>
      <w:r>
        <w:rPr>
          <w:rFonts w:ascii="Times New Roman" w:cs="Times New Roman" w:eastAsia="Times New Roman" w:hAnsi="Times New Roman"/>
          <w:b/>
          <w:bCs/>
          <w:sz w:val="22"/>
          <w:szCs w:val="22"/>
        </w:rPr>
        <w:t>MA</w:t>
      </w:r>
      <w:r>
        <w:rPr>
          <w:rFonts w:ascii="Times New Roman" w:cs="Times New Roman" w:eastAsia="Times New Roman" w:hAnsi="Times New Roman"/>
          <w:sz w:val="22"/>
          <w:szCs w:val="22"/>
        </w:rPr>
        <w:t xml:space="preserve"> gần như luôn đưa ra xu hướng (không bao giờ sideway), nên các chiến lược trên MA luôn có mặt trên thị trường. </w:t>
      </w:r>
      <w:r>
        <w:rPr>
          <w:rFonts w:ascii="Times New Roman" w:cs="Times New Roman" w:eastAsia="Times New Roman" w:hAnsi="Times New Roman"/>
          <w:b/>
          <w:bCs/>
          <w:sz w:val="22"/>
          <w:szCs w:val="22"/>
        </w:rPr>
        <w:t>MACD</w:t>
      </w:r>
      <w:r>
        <w:rPr>
          <w:rFonts w:ascii="Times New Roman" w:cs="Times New Roman" w:eastAsia="Times New Roman" w:hAnsi="Times New Roman"/>
          <w:sz w:val="22"/>
          <w:szCs w:val="22"/>
        </w:rPr>
        <w:t xml:space="preserve"> chỉ báo xu hướng đúng tại nến giao cắt, khoảng 5 % số nến. </w:t>
      </w:r>
      <w:r>
        <w:rPr>
          <w:rFonts w:ascii="Times New Roman" w:cs="Times New Roman" w:eastAsia="Times New Roman" w:hAnsi="Times New Roman"/>
          <w:b/>
          <w:bCs/>
          <w:sz w:val="22"/>
          <w:szCs w:val="22"/>
        </w:rPr>
        <w:t>RSI</w:t>
      </w:r>
      <w:r>
        <w:rPr>
          <w:rFonts w:ascii="Times New Roman" w:cs="Times New Roman" w:eastAsia="Times New Roman" w:hAnsi="Times New Roman"/>
          <w:sz w:val="22"/>
          <w:szCs w:val="22"/>
        </w:rPr>
        <w:t xml:space="preserve"> mang tính đảo chiều: báo uptrend khi giá đã giảm sâu (quá bán). </w:t>
      </w:r>
      <w:r>
        <w:rPr>
          <w:rFonts w:ascii="Times New Roman" w:cs="Times New Roman" w:eastAsia="Times New Roman" w:hAnsi="Times New Roman"/>
          <w:b/>
          <w:bCs/>
          <w:sz w:val="22"/>
          <w:szCs w:val="22"/>
        </w:rPr>
        <w:t>XGBoost</w:t>
      </w:r>
      <w:r>
        <w:rPr>
          <w:rFonts w:ascii="Times New Roman" w:cs="Times New Roman" w:eastAsia="Times New Roman" w:hAnsi="Times New Roman"/>
          <w:sz w:val="22"/>
          <w:szCs w:val="22"/>
        </w:rPr>
        <w:t xml:space="preserve"> chọn lọc nhất, chỉ 2,8% số nến có xu hướng — hệ quả của ngưỡng tin cậy kép trình bày ở Chương 6.</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DỰ BÁO XU HƯỚNG KHÔNG PHẢI LỆNH GIAO DỊCH</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Đầu ra của NB1 là UPTREND / SIDEWAY / DOWNTREND, không phải BUY / SELL / FLAT. Cùng một dự báo uptrend có thể dẫn tới lệnh BUY ngay, BUY khi giá hồi, hoặc chưa làm gì cho tới khi xu hướng được xác nhận — đó là việc của tầng chiến lược ở NB3.</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6. NHÁNH HỌC MÁY: XGBOOST WALK-FORWARD (NB2)</w:t>
      </w:r>
    </w:p>
    <w:p>
      <w:pPr>
        <w:pStyle w:val="Heading2"/>
        <w:spacing w:after="140" w:before="260"/>
      </w:pPr>
      <w:r>
        <w:rPr>
          <w:rFonts w:ascii="Times New Roman" w:cs="Times New Roman" w:eastAsia="Times New Roman" w:hAnsi="Times New Roman"/>
          <w:b/>
          <w:bCs/>
          <w:color w:val="2E5496"/>
          <w:sz w:val="25"/>
          <w:szCs w:val="25"/>
        </w:rPr>
        <w:t>6.1. Đặc trưng đầu vào</w:t>
      </w:r>
    </w:p>
    <w:p>
      <w:pPr>
        <w:spacing w:after="140" w:line="300"/>
        <w:jc w:val="both"/>
      </w:pPr>
      <w:r>
        <w:rPr>
          <w:rFonts w:ascii="Times New Roman" w:cs="Times New Roman" w:eastAsia="Times New Roman" w:hAnsi="Times New Roman"/>
          <w:sz w:val="22"/>
          <w:szCs w:val="22"/>
        </w:rPr>
        <w:t xml:space="preserve">XGBoost học từ </w:t>
      </w:r>
      <w:r>
        <w:rPr>
          <w:rFonts w:ascii="Times New Roman" w:cs="Times New Roman" w:eastAsia="Times New Roman" w:hAnsi="Times New Roman"/>
          <w:b/>
          <w:bCs/>
          <w:sz w:val="22"/>
          <w:szCs w:val="22"/>
        </w:rPr>
        <w:t>đúng bộ chỉ báo của NB1</w:t>
      </w:r>
      <w:r>
        <w:rPr>
          <w:rFonts w:ascii="Times New Roman" w:cs="Times New Roman" w:eastAsia="Times New Roman" w:hAnsi="Times New Roman"/>
          <w:sz w:val="22"/>
          <w:szCs w:val="22"/>
        </w:rPr>
        <w:t xml:space="preserve">, tính lại trong NB2 để hai nhánh độc lập. Nhờ vậy phép so sánh là công bằng về lượng thông tin: chỉ khác cách ra quyết định — luật cố định hay mô hình học từ dữ liệu. Mọi chỉ báo có đơn vị USD được </w:t>
      </w:r>
      <w:r>
        <w:rPr>
          <w:rFonts w:ascii="Times New Roman" w:cs="Times New Roman" w:eastAsia="Times New Roman" w:hAnsi="Times New Roman"/>
          <w:b/>
          <w:bCs/>
          <w:sz w:val="22"/>
          <w:szCs w:val="22"/>
        </w:rPr>
        <w:t>chia cho giá đóng cửa</w:t>
      </w:r>
      <w:r>
        <w:rPr>
          <w:rFonts w:ascii="Times New Roman" w:cs="Times New Roman" w:eastAsia="Times New Roman" w:hAnsi="Times New Roman"/>
          <w:sz w:val="22"/>
          <w:szCs w:val="22"/>
        </w:rPr>
        <w:t>. Vàng đi từ khoảng 1.050 USD (2015) lên hơn 4.500 USD (2025); mô hình cây không ngoại suy được, nên học trên MA10 = 1.800 rồi gặp MA10 = 4.000 sẽ chỉ trả về vùng giá cao nhất từng thấy.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200"/>
        <w:gridCol w:w="2760"/>
      </w:tblGrid>
      <w:tr>
        <w:trPr>
          <w:tblHeader/>
        </w:trPr>
        <w:tc>
          <w:tcPr>
            <w:tcW w:type="dxa" w:w="24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Nhóm</w:t>
            </w:r>
          </w:p>
        </w:tc>
        <w:tc>
          <w:tcPr>
            <w:tcW w:type="dxa" w:w="42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Đặc trưng</w:t>
            </w:r>
          </w:p>
        </w:tc>
        <w:tc>
          <w:tcPr>
            <w:tcW w:type="dxa" w:w="27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Công thức</w:t>
            </w:r>
          </w:p>
        </w:tc>
      </w:tr>
      <w:tr>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Khoảng cách tới đường giá</w:t>
            </w:r>
          </w:p>
        </w:tc>
        <w:tc>
          <w:tcPr>
            <w:tcW w:type="dxa" w:w="4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MA10, MA30, MA50, EMA12, EMA26, MA20, BB trên, BB dưới</w:t>
            </w:r>
          </w:p>
        </w:tc>
        <w:tc>
          <w:tcPr>
            <w:tcW w:type="dxa" w:w="2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báo / Close − 1</w:t>
            </w:r>
          </w:p>
        </w:tc>
      </w:tr>
      <w:tr>
        <w:tc>
          <w:tcPr>
            <w:tcW w:type="dxa" w:w="2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Động lượng tương đối</w:t>
            </w:r>
          </w:p>
        </w:tc>
        <w:tc>
          <w:tcPr>
            <w:tcW w:type="dxa" w:w="4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MACD, đường tín hiệu, histogram, STD20</w:t>
            </w:r>
          </w:p>
        </w:tc>
        <w:tc>
          <w:tcPr>
            <w:tcW w:type="dxa" w:w="27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Chỉ báo / Close</w:t>
            </w:r>
          </w:p>
        </w:tc>
      </w:tr>
      <w:tr>
        <w:tc>
          <w:tcPr>
            <w:tcW w:type="dxa" w:w="2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Không phụ thuộc mức giá</w:t>
            </w:r>
          </w:p>
        </w:tc>
        <w:tc>
          <w:tcPr>
            <w:tcW w:type="dxa" w:w="4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RSI14, Return, Volatility20, vị trí trong dải Bollinger</w:t>
            </w:r>
          </w:p>
        </w:tc>
        <w:tc>
          <w:tcPr>
            <w:tcW w:type="dxa" w:w="27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RSI/100; (Close − BB dưới) / (BB trên − BB dưới)</w:t>
            </w:r>
          </w:p>
        </w:tc>
      </w:tr>
    </w:tbl>
    <w:p>
      <w:pPr>
        <w:spacing w:after="180" w:before="70"/>
        <w:jc w:val="center"/>
      </w:pPr>
      <w:r>
        <w:rPr>
          <w:rFonts w:ascii="Times New Roman" w:cs="Times New Roman" w:eastAsia="Times New Roman" w:hAnsi="Times New Roman"/>
          <w:i/>
          <w:iCs/>
          <w:color w:val="555555"/>
          <w:sz w:val="19"/>
          <w:szCs w:val="19"/>
        </w:rPr>
        <w:t>Bảng 6.1 — 16 đặc trưng tương đối đưa vào XGBoost</w:t>
      </w:r>
    </w:p>
    <w:p>
      <w:pPr>
        <w:pStyle w:val="Heading2"/>
        <w:spacing w:after="140" w:before="260"/>
      </w:pPr>
      <w:r>
        <w:rPr>
          <w:rFonts w:ascii="Times New Roman" w:cs="Times New Roman" w:eastAsia="Times New Roman" w:hAnsi="Times New Roman"/>
          <w:b/>
          <w:bCs/>
          <w:color w:val="2E5496"/>
          <w:sz w:val="25"/>
          <w:szCs w:val="25"/>
        </w:rPr>
        <w:t>6.2. Gán nhãn ba rào cản theo phần trăm giá</w:t>
      </w:r>
    </w:p>
    <w:p>
      <w:pPr>
        <w:spacing w:after="140" w:line="300"/>
        <w:jc w:val="both"/>
      </w:pPr>
      <w:r>
        <w:rPr>
          <w:rFonts w:ascii="Times New Roman" w:cs="Times New Roman" w:eastAsia="Times New Roman" w:hAnsi="Times New Roman"/>
          <w:sz w:val="22"/>
          <w:szCs w:val="22"/>
        </w:rPr>
        <w:t>Nhãn của mô hình dùng phương pháp ba rào cản (Triple Barrier). Tại nến t, đặt rào trên và rào dưới cách giá đóng cửa p phần trăm, quét tối đa H = 24 nến tiếp theo:</w:t>
      </w:r>
    </w:p>
    <w:p>
      <w:pPr>
        <w:spacing w:after="140" w:before="100"/>
        <w:jc w:val="center"/>
      </w:pPr>
      <w:r>
        <w:rPr>
          <w:rFonts w:ascii="Cambria Math" w:cs="Cambria Math" w:eastAsia="Cambria Math" w:hAnsi="Cambria Math"/>
          <w:i/>
          <w:iCs/>
          <w:sz w:val="22"/>
          <w:szCs w:val="22"/>
        </w:rPr>
        <w:t>Rào trên = Close_t × (1 + p);   Rào dưới = Close_t × (1 − p);   Rào dọc = t + H</w:t>
      </w:r>
    </w:p>
    <w:p>
      <w:pPr>
        <w:pStyle w:val="ListParagraph"/>
        <w:numPr>
          <w:ilvl w:val="0"/>
          <w:numId w:val="23"/>
        </w:numPr>
        <w:spacing w:after="90" w:line="290"/>
        <w:jc w:val="both"/>
      </w:pPr>
      <w:r>
        <w:rPr>
          <w:rFonts w:ascii="Times New Roman" w:cs="Times New Roman" w:eastAsia="Times New Roman" w:hAnsi="Times New Roman"/>
          <w:b/>
          <w:bCs/>
          <w:sz w:val="22"/>
          <w:szCs w:val="22"/>
        </w:rPr>
        <w:t>Chạm rào trên trước → nhãn 1 (Uptrend).</w:t>
      </w:r>
      <w:r>
        <w:rPr>
          <w:rFonts w:ascii="Times New Roman" w:cs="Times New Roman" w:eastAsia="Times New Roman" w:hAnsi="Times New Roman"/>
          <w:sz w:val="22"/>
          <w:szCs w:val="22"/>
        </w:rPr>
        <w:t xml:space="preserve"> Chạm rào dưới trước → nhãn −1 (Downtrend).</w:t>
      </w:r>
    </w:p>
    <w:p>
      <w:pPr>
        <w:pStyle w:val="ListParagraph"/>
        <w:numPr>
          <w:ilvl w:val="0"/>
          <w:numId w:val="23"/>
        </w:numPr>
        <w:spacing w:after="90" w:line="290"/>
        <w:jc w:val="both"/>
      </w:pPr>
      <w:r>
        <w:rPr>
          <w:rFonts w:ascii="Times New Roman" w:cs="Times New Roman" w:eastAsia="Times New Roman" w:hAnsi="Times New Roman"/>
          <w:b/>
          <w:bCs/>
          <w:sz w:val="22"/>
          <w:szCs w:val="22"/>
        </w:rPr>
        <w:t>Hết H nến không chạm rào nào, hoặc một nến chạm cả hai rào → nhãn 0 (Sideway).</w:t>
      </w:r>
      <w:r>
        <w:rPr>
          <w:rFonts w:ascii="Times New Roman" w:cs="Times New Roman" w:eastAsia="Times New Roman" w:hAnsi="Times New Roman"/>
          <w:sz w:val="22"/>
          <w:szCs w:val="22"/>
        </w:rPr>
        <w:t xml:space="preserve"> Giả định thận trọng: không đoán thứ tự chạm trong nến.</w:t>
      </w:r>
    </w:p>
    <w:p>
      <w:pPr>
        <w:pStyle w:val="ListParagraph"/>
        <w:numPr>
          <w:ilvl w:val="0"/>
          <w:numId w:val="23"/>
        </w:numPr>
        <w:spacing w:after="90" w:line="290"/>
        <w:jc w:val="both"/>
      </w:pPr>
      <w:r>
        <w:rPr>
          <w:rFonts w:ascii="Times New Roman" w:cs="Times New Roman" w:eastAsia="Times New Roman" w:hAnsi="Times New Roman"/>
          <w:sz w:val="22"/>
          <w:szCs w:val="22"/>
        </w:rPr>
        <w:t>H nến cuối chưa đủ dữ liệu tương lai nên để trống, không dùng để huấn luyện.</w:t>
      </w:r>
    </w:p>
    <w:p>
      <w:pPr>
        <w:spacing w:after="140" w:line="300"/>
        <w:jc w:val="both"/>
      </w:pPr>
      <w:r>
        <w:rPr>
          <w:rFonts w:ascii="Times New Roman" w:cs="Times New Roman" w:eastAsia="Times New Roman" w:hAnsi="Times New Roman"/>
          <w:sz w:val="22"/>
          <w:szCs w:val="22"/>
        </w:rPr>
        <w:t xml:space="preserve">Tham số p không đặt cứng mà được </w:t>
      </w:r>
      <w:r>
        <w:rPr>
          <w:rFonts w:ascii="Times New Roman" w:cs="Times New Roman" w:eastAsia="Times New Roman" w:hAnsi="Times New Roman"/>
          <w:b/>
          <w:bCs/>
          <w:sz w:val="22"/>
          <w:szCs w:val="22"/>
        </w:rPr>
        <w:t>dò tự động trên tập huấn luyện</w:t>
      </w:r>
      <w:r>
        <w:rPr>
          <w:rFonts w:ascii="Times New Roman" w:cs="Times New Roman" w:eastAsia="Times New Roman" w:hAnsi="Times New Roman"/>
          <w:sz w:val="22"/>
          <w:szCs w:val="22"/>
        </w:rPr>
        <w:t xml:space="preserve"> sao cho lớp sideway chiếm khoảng 25 %. Điểm kỹ thuật cần lưu ý: tỉ lệ sideway theo p có dạng </w:t>
      </w:r>
      <w:r>
        <w:rPr>
          <w:rFonts w:ascii="Times New Roman" w:cs="Times New Roman" w:eastAsia="Times New Roman" w:hAnsi="Times New Roman"/>
          <w:b/>
          <w:bCs/>
          <w:sz w:val="22"/>
          <w:szCs w:val="22"/>
        </w:rPr>
        <w:t>chữ U</w:t>
      </w:r>
      <w:r>
        <w:rPr>
          <w:rFonts w:ascii="Times New Roman" w:cs="Times New Roman" w:eastAsia="Times New Roman" w:hAnsi="Times New Roman"/>
          <w:sz w:val="22"/>
          <w:szCs w:val="22"/>
        </w:rPr>
        <w:t xml:space="preserve">. Với p rất nhỏ, nến kế tiếp chạm cả hai rào cùng lúc nên bị gán 0 — đó là nhiễu, không phải sideway thật; với p lớn, hết H nến không chạm rào nào — đó mới là sideway đúng nghĩa. Vì vậy thuật toán chỉ dò trên </w:t>
      </w:r>
      <w:r>
        <w:rPr>
          <w:rFonts w:ascii="Times New Roman" w:cs="Times New Roman" w:eastAsia="Times New Roman" w:hAnsi="Times New Roman"/>
          <w:b/>
          <w:bCs/>
          <w:sz w:val="22"/>
          <w:szCs w:val="22"/>
        </w:rPr>
        <w:t>nhánh phải</w:t>
      </w:r>
      <w:r>
        <w:rPr>
          <w:rFonts w:ascii="Times New Roman" w:cs="Times New Roman" w:eastAsia="Times New Roman" w:hAnsi="Times New Roman"/>
          <w:sz w:val="22"/>
          <w:szCs w:val="22"/>
        </w:rPr>
        <w:t xml:space="preserve"> của chữ U, rồi chia đôi khoảng để đạt đúng mục tiêu. Kết quả dò qua sáu lần walk-forward: p tăng dần từ 0,571% (năm 2020) lên 0,619% (năm 2025), phản ánh biến động tăng dần của vàng.</w:t>
      </w:r>
    </w:p>
    <w:p>
      <w:pPr>
        <w:pStyle w:val="Heading2"/>
        <w:spacing w:after="140" w:before="260"/>
      </w:pPr>
      <w:r>
        <w:rPr>
          <w:rFonts w:ascii="Times New Roman" w:cs="Times New Roman" w:eastAsia="Times New Roman" w:hAnsi="Times New Roman"/>
          <w:b/>
          <w:bCs/>
          <w:color w:val="2E5496"/>
          <w:sz w:val="25"/>
          <w:szCs w:val="25"/>
        </w:rPr>
        <w:t>6.3. Kiểm định cuốn chiếu (walk-forward) 2020 – 2025</w:t>
      </w:r>
    </w:p>
    <w:p>
      <w:pPr>
        <w:spacing w:after="140" w:line="300"/>
        <w:jc w:val="both"/>
      </w:pPr>
      <w:r>
        <w:rPr>
          <w:rFonts w:ascii="Times New Roman" w:cs="Times New Roman" w:eastAsia="Times New Roman" w:hAnsi="Times New Roman"/>
          <w:sz w:val="22"/>
          <w:szCs w:val="22"/>
        </w:rPr>
        <w:t xml:space="preserve">Mỗi năm kiểm tra Y, mô hình được huấn luyện trên </w:t>
      </w:r>
      <w:r>
        <w:rPr>
          <w:rFonts w:ascii="Times New Roman" w:cs="Times New Roman" w:eastAsia="Times New Roman" w:hAnsi="Times New Roman"/>
          <w:b/>
          <w:bCs/>
          <w:sz w:val="22"/>
          <w:szCs w:val="22"/>
        </w:rPr>
        <w:t>toàn bộ dữ liệu trước 01/01/Y</w:t>
      </w:r>
      <w:r>
        <w:rPr>
          <w:rFonts w:ascii="Times New Roman" w:cs="Times New Roman" w:eastAsia="Times New Roman" w:hAnsi="Times New Roman"/>
          <w:sz w:val="22"/>
          <w:szCs w:val="22"/>
        </w:rPr>
        <w:t xml:space="preserve"> (cửa sổ mở rộng dần), rồi dự báo cả năm Y; sang năm sau huấn luyện lại, có thêm năm vừa qua. Trong mỗi lần: dò lại p chỉ trên tập huấn luyện của lần đó, và </w:t>
      </w:r>
      <w:r>
        <w:rPr>
          <w:rFonts w:ascii="Times New Roman" w:cs="Times New Roman" w:eastAsia="Times New Roman" w:hAnsi="Times New Roman"/>
          <w:b/>
          <w:bCs/>
          <w:sz w:val="22"/>
          <w:szCs w:val="22"/>
        </w:rPr>
        <w:t>thanh lọc (purging)</w:t>
      </w:r>
      <w:r>
        <w:rPr>
          <w:rFonts w:ascii="Times New Roman" w:cs="Times New Roman" w:eastAsia="Times New Roman" w:hAnsi="Times New Roman"/>
          <w:sz w:val="22"/>
          <w:szCs w:val="22"/>
        </w:rPr>
        <w:t xml:space="preserve"> 24 nến cuối của tập huấn luyện vì nhãn của chúng đã nhìn sang năm kiểm tra. Ghép sáu năm dự báo lại được một chuỗi dự báo ngoài mẫu liên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2000"/>
        <w:gridCol w:w="1900"/>
        <w:gridCol w:w="2060"/>
      </w:tblGrid>
      <w:tr>
        <w:trPr>
          <w:tblHeader/>
        </w:trPr>
        <w:tc>
          <w:tcPr>
            <w:tcW w:type="dxa" w:w="1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Năm kiểm tra</w:t>
            </w:r>
          </w:p>
        </w:tc>
        <w:tc>
          <w:tcPr>
            <w:tcW w:type="dxa" w:w="1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Huấn luyện</w:t>
            </w:r>
          </w:p>
        </w:tc>
        <w:tc>
          <w:tcPr>
            <w:tcW w:type="dxa" w:w="20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Nến huấn luyện</w:t>
            </w:r>
          </w:p>
        </w:tc>
        <w:tc>
          <w:tcPr>
            <w:tcW w:type="dxa" w:w="1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p nhãn (%)</w:t>
            </w:r>
          </w:p>
        </w:tc>
        <w:tc>
          <w:tcPr>
            <w:tcW w:type="dxa" w:w="20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Nến kiểm tra</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2020</w:t>
            </w:r>
          </w:p>
        </w:tc>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2015 → 2019</w:t>
            </w:r>
          </w:p>
        </w:tc>
        <w:tc>
          <w:tcPr>
            <w:tcW w:type="dxa" w:w="2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29.571</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0,5707</w:t>
            </w:r>
          </w:p>
        </w:tc>
        <w:tc>
          <w:tcPr>
            <w:tcW w:type="dxa" w:w="20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5.926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2021</w:t>
            </w:r>
          </w:p>
        </w:tc>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2015 → 2020</w:t>
            </w:r>
          </w:p>
        </w:tc>
        <w:tc>
          <w:tcPr>
            <w:tcW w:type="dxa" w:w="2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35.497</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0,5954</w:t>
            </w:r>
          </w:p>
        </w:tc>
        <w:tc>
          <w:tcPr>
            <w:tcW w:type="dxa" w:w="20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5.907</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2022</w:t>
            </w:r>
          </w:p>
        </w:tc>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2015 → 2021</w:t>
            </w:r>
          </w:p>
        </w:tc>
        <w:tc>
          <w:tcPr>
            <w:tcW w:type="dxa" w:w="2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41.404</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0,6021</w:t>
            </w:r>
          </w:p>
        </w:tc>
        <w:tc>
          <w:tcPr>
            <w:tcW w:type="dxa" w:w="20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5.915</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2023</w:t>
            </w:r>
          </w:p>
        </w:tc>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2015 → 2022</w:t>
            </w:r>
          </w:p>
        </w:tc>
        <w:tc>
          <w:tcPr>
            <w:tcW w:type="dxa" w:w="2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47.319</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0,6153</w:t>
            </w:r>
          </w:p>
        </w:tc>
        <w:tc>
          <w:tcPr>
            <w:tcW w:type="dxa" w:w="20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5.889</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2024</w:t>
            </w:r>
          </w:p>
        </w:tc>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2015 → 2023</w:t>
            </w:r>
          </w:p>
        </w:tc>
        <w:tc>
          <w:tcPr>
            <w:tcW w:type="dxa" w:w="2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53.208</w:t>
            </w:r>
          </w:p>
        </w:tc>
        <w:tc>
          <w:tcPr>
            <w:tcW w:type="dxa" w:w="1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0,6132</w:t>
            </w:r>
          </w:p>
        </w:tc>
        <w:tc>
          <w:tcPr>
            <w:tcW w:type="dxa" w:w="20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5.938</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2025</w:t>
            </w:r>
          </w:p>
        </w:tc>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2015 → 2024</w:t>
            </w:r>
          </w:p>
        </w:tc>
        <w:tc>
          <w:tcPr>
            <w:tcW w:type="dxa" w:w="2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59.146</w:t>
            </w:r>
          </w:p>
        </w:tc>
        <w:tc>
          <w:tcPr>
            <w:tcW w:type="dxa" w:w="1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0,6189</w:t>
            </w:r>
          </w:p>
        </w:tc>
        <w:tc>
          <w:tcPr>
            <w:tcW w:type="dxa" w:w="20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5.906</w:t>
            </w:r>
          </w:p>
        </w:tc>
      </w:tr>
    </w:tbl>
    <w:p>
      <w:pPr>
        <w:spacing w:after="180" w:before="70"/>
        <w:jc w:val="center"/>
      </w:pPr>
      <w:r>
        <w:rPr>
          <w:rFonts w:ascii="Times New Roman" w:cs="Times New Roman" w:eastAsia="Times New Roman" w:hAnsi="Times New Roman"/>
          <w:i/>
          <w:iCs/>
          <w:color w:val="555555"/>
          <w:sz w:val="19"/>
          <w:szCs w:val="19"/>
        </w:rPr>
        <w:t>Bảng 6.2 — Sáu lần huấn luyện walk-forward</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Một lần walk-forward (rút gọn từ NB2)</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for ten, la_train, la_test in FOLD:                 # FOLD: (năm, trước năm đó, trong năm đó)</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n_do = int(la_train.sum())</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p = do_p(n_do)[0]                                # dò p CHỈ trên tập huấn luyện</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nhan = gan_nhan(cao, thap, dong, p, SO_NEN_TOI_DA)</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i_train = np.flatnonzero(la_train &amp; du_dac_trung &amp; ~np.isnan(nhan))</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i_train = i_train[i_train &lt; n_do - SO_NEN_TOI_DA]   # purging: nhãn không nhìn sang năm kiểm tra</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i_test = np.flatnonzero(la_test &amp; du_dac_trung)</w:t>
      </w:r>
    </w:p>
    <w:p>
      <w:pPr>
        <w:pBdr>
          <w:top w:val="single" w:color="D0D0D0" w:sz="4" w:space="3"/>
          <w:left w:val="single" w:color="9DB2CE" w:sz="12" w:space="6"/>
        </w:pBdr>
        <w:shd w:fill="F4F4F4" w:color="auto" w:val="clear"/>
        <w:spacing w:after="0" w:line="240"/>
        <w:ind w:left="180" w:right="90"/>
      </w:pPr>
      <w:r>
        <w:rPr>
          <w:rFonts w:ascii="Consolas" w:cs="Consolas" w:eastAsia="Consolas" w:hAnsi="Consolas"/>
          <w:sz w:val="18"/>
          <w:szCs w:val="18"/>
        </w:rPr>
        <w:t xml:space="preserve">    sig = run_xgboost(X_all[i_train], nhan[i_train], X_all[i_test], tau=0.50, delta=0.15)</w:t>
      </w:r>
    </w:p>
    <w:p>
      <w:pPr>
        <w:spacing w:after="80"/>
      </w:pPr>
    </w:p>
    <w:p>
      <w:pPr>
        <w:pStyle w:val="Heading2"/>
        <w:spacing w:after="140" w:before="260"/>
      </w:pPr>
      <w:r>
        <w:rPr>
          <w:rFonts w:ascii="Times New Roman" w:cs="Times New Roman" w:eastAsia="Times New Roman" w:hAnsi="Times New Roman"/>
          <w:b/>
          <w:bCs/>
          <w:color w:val="2E5496"/>
          <w:sz w:val="25"/>
          <w:szCs w:val="25"/>
        </w:rPr>
        <w:t>6.4. Mô hình XGBoost và ngưỡng tin cậy kép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900"/>
        <w:gridCol w:w="4360"/>
      </w:tblGrid>
      <w:tr>
        <w:trPr>
          <w:tblHeader/>
        </w:trPr>
        <w:tc>
          <w:tcPr>
            <w:tcW w:type="dxa" w:w="31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Siêu tham số</w:t>
            </w:r>
          </w:p>
        </w:tc>
        <w:tc>
          <w:tcPr>
            <w:tcW w:type="dxa" w:w="1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Giá trị</w:t>
            </w:r>
          </w:p>
        </w:tc>
        <w:tc>
          <w:tcPr>
            <w:tcW w:type="dxa" w:w="43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Ý nghĩa</w:t>
            </w:r>
          </w:p>
        </w:tc>
      </w:tr>
      <w:tr>
        <w:tc>
          <w:tcPr>
            <w:tcW w:type="dxa" w:w="3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max_depth</w:t>
            </w:r>
          </w:p>
        </w:tc>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3</w:t>
            </w:r>
          </w:p>
        </w:tc>
        <w:tc>
          <w:tcPr>
            <w:tcW w:type="dxa" w:w="4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Cây nông — dữ liệu tài chính có tỉ lệ tín hiệu/nhiễu thấp</w:t>
            </w:r>
          </w:p>
        </w:tc>
      </w:tr>
      <w:tr>
        <w:tc>
          <w:tcPr>
            <w:tcW w:type="dxa" w:w="3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learning_rate × n_estimators</w:t>
            </w:r>
          </w:p>
        </w:tc>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0,03 × 150</w:t>
            </w:r>
          </w:p>
        </w:tc>
        <w:tc>
          <w:tcPr>
            <w:tcW w:type="dxa" w:w="4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Học chậm, nhiều cây cho kết quả ổn định</w:t>
            </w:r>
          </w:p>
        </w:tc>
      </w:tr>
      <w:tr>
        <w:tc>
          <w:tcPr>
            <w:tcW w:type="dxa" w:w="3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subsample, colsample_bytree</w:t>
            </w:r>
          </w:p>
        </w:tc>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0,7 · 0,7</w:t>
            </w:r>
          </w:p>
        </w:tc>
        <w:tc>
          <w:tcPr>
            <w:tcW w:type="dxa" w:w="4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Lấy mẫu hàng và cột, tăng đa dạng giữa các cây</w:t>
            </w:r>
          </w:p>
        </w:tc>
      </w:tr>
      <w:tr>
        <w:tc>
          <w:tcPr>
            <w:tcW w:type="dxa" w:w="3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reg_alpha, reg_lambda</w:t>
            </w:r>
          </w:p>
        </w:tc>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0,1 · 1,0</w:t>
            </w:r>
          </w:p>
        </w:tc>
        <w:tc>
          <w:tcPr>
            <w:tcW w:type="dxa" w:w="4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Chính quy hóa L1, L2</w:t>
            </w:r>
          </w:p>
        </w:tc>
      </w:tr>
      <w:tr>
        <w:tc>
          <w:tcPr>
            <w:tcW w:type="dxa" w:w="3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objective</w:t>
            </w:r>
          </w:p>
        </w:tc>
        <w:tc>
          <w:tcPr>
            <w:tcW w:type="dxa" w:w="1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multi:softprob, 3 lớp</w:t>
            </w:r>
          </w:p>
        </w:tc>
        <w:tc>
          <w:tcPr>
            <w:tcW w:type="dxa" w:w="4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Xuất xác suất (p↓, p→, p↑)</w:t>
            </w:r>
          </w:p>
        </w:tc>
      </w:tr>
      <w:tr>
        <w:tc>
          <w:tcPr>
            <w:tcW w:type="dxa" w:w="3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τ (ngưỡng tuyệt đối), δ (ngưỡng tách biệt)</w:t>
            </w:r>
          </w:p>
        </w:tc>
        <w:tc>
          <w:tcPr>
            <w:tcW w:type="dxa" w:w="1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0,50 · 0,15</w:t>
            </w:r>
          </w:p>
        </w:tc>
        <w:tc>
          <w:tcPr>
            <w:tcW w:type="dxa" w:w="4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Cấu hình Swing của nhóm</w:t>
            </w:r>
          </w:p>
        </w:tc>
      </w:tr>
    </w:tbl>
    <w:p>
      <w:pPr>
        <w:spacing w:after="180" w:before="70"/>
        <w:jc w:val="center"/>
      </w:pPr>
      <w:r>
        <w:rPr>
          <w:rFonts w:ascii="Times New Roman" w:cs="Times New Roman" w:eastAsia="Times New Roman" w:hAnsi="Times New Roman"/>
          <w:i/>
          <w:iCs/>
          <w:color w:val="555555"/>
          <w:sz w:val="19"/>
          <w:szCs w:val="19"/>
        </w:rPr>
        <w:t>Bảng 6.3 — Cấu hình XGBoost và bộ chuyển xác suất thành dự báo</w:t>
      </w:r>
    </w:p>
    <w:p>
      <w:pPr>
        <w:spacing w:after="140" w:before="100"/>
        <w:jc w:val="center"/>
      </w:pPr>
      <w:r>
        <w:rPr>
          <w:rFonts w:ascii="Cambria Math" w:cs="Cambria Math" w:eastAsia="Cambria Math" w:hAnsi="Cambria Math"/>
          <w:i/>
          <w:iCs/>
          <w:sz w:val="22"/>
          <w:szCs w:val="22"/>
        </w:rPr>
        <w:t>Dự báo = 1 nếu p↑ ≥ τ và p↑ − p↓ ≥ δ;   −1 nếu p↓ ≥ τ và p↓ − p↑ ≥ δ;   ngược lại 0</w:t>
      </w:r>
    </w:p>
    <w:p>
      <w:pPr>
        <w:pStyle w:val="Heading2"/>
        <w:spacing w:after="140" w:before="260"/>
      </w:pPr>
      <w:r>
        <w:rPr>
          <w:rFonts w:ascii="Times New Roman" w:cs="Times New Roman" w:eastAsia="Times New Roman" w:hAnsi="Times New Roman"/>
          <w:b/>
          <w:bCs/>
          <w:color w:val="2E5496"/>
          <w:sz w:val="25"/>
          <w:szCs w:val="25"/>
        </w:rPr>
        <w:t>6.5. Chất lượng dự báo theo năm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500"/>
        <w:gridCol w:w="1500"/>
        <w:gridCol w:w="1500"/>
        <w:gridCol w:w="2000"/>
        <w:gridCol w:w="1860"/>
      </w:tblGrid>
      <w:tr>
        <w:trPr>
          <w:tblHeader/>
        </w:trPr>
        <w:tc>
          <w:tcPr>
            <w:tcW w:type="dxa" w:w="10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Năm</w:t>
            </w:r>
          </w:p>
        </w:tc>
        <w:tc>
          <w:tcPr>
            <w:tcW w:type="dxa" w:w="15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Uptrend</w:t>
            </w:r>
          </w:p>
        </w:tc>
        <w:tc>
          <w:tcPr>
            <w:tcW w:type="dxa" w:w="15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Sideway</w:t>
            </w:r>
          </w:p>
        </w:tc>
        <w:tc>
          <w:tcPr>
            <w:tcW w:type="dxa" w:w="15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Downtrend</w:t>
            </w:r>
          </w:p>
        </w:tc>
        <w:tc>
          <w:tcPr>
            <w:tcW w:type="dxa" w:w="20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Trend đúng nhãn (%)</w:t>
            </w:r>
          </w:p>
        </w:tc>
        <w:tc>
          <w:tcPr>
            <w:tcW w:type="dxa" w:w="18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Mức ngẫu nhiên (%)</w:t>
            </w:r>
          </w:p>
        </w:tc>
      </w:tr>
      <w:tr>
        <w:tc>
          <w:tcPr>
            <w:tcW w:type="dxa" w:w="1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2020</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95</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5.490</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341</w:t>
            </w:r>
          </w:p>
        </w:tc>
        <w:tc>
          <w:tcPr>
            <w:tcW w:type="dxa" w:w="2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50,46</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42,65</w:t>
            </w:r>
          </w:p>
        </w:tc>
      </w:tr>
      <w:tr>
        <w:tc>
          <w:tcPr>
            <w:tcW w:type="dxa" w:w="1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2021</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74</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5.797</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36</w:t>
            </w:r>
          </w:p>
        </w:tc>
        <w:tc>
          <w:tcPr>
            <w:tcW w:type="dxa" w:w="2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39,09</w:t>
            </w:r>
          </w:p>
        </w:tc>
        <w:tc>
          <w:tcPr>
            <w:tcW w:type="dxa" w:w="18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39,91</w:t>
            </w:r>
          </w:p>
        </w:tc>
      </w:tr>
      <w:tr>
        <w:tc>
          <w:tcPr>
            <w:tcW w:type="dxa" w:w="1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2022</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20</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5.885</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10</w:t>
            </w:r>
          </w:p>
        </w:tc>
        <w:tc>
          <w:tcPr>
            <w:tcW w:type="dxa" w:w="2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63,33</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42,94</w:t>
            </w:r>
          </w:p>
        </w:tc>
      </w:tr>
      <w:tr>
        <w:tc>
          <w:tcPr>
            <w:tcW w:type="dxa" w:w="1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2023</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44</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5.831</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14</w:t>
            </w:r>
          </w:p>
        </w:tc>
        <w:tc>
          <w:tcPr>
            <w:tcW w:type="dxa" w:w="2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39,66</w:t>
            </w:r>
          </w:p>
        </w:tc>
        <w:tc>
          <w:tcPr>
            <w:tcW w:type="dxa" w:w="18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37,04</w:t>
            </w:r>
          </w:p>
        </w:tc>
      </w:tr>
      <w:tr>
        <w:tc>
          <w:tcPr>
            <w:tcW w:type="dxa" w:w="1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2024</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46</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5.853</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39</w:t>
            </w:r>
          </w:p>
        </w:tc>
        <w:tc>
          <w:tcPr>
            <w:tcW w:type="dxa" w:w="20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42,35</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41,11</w:t>
            </w:r>
          </w:p>
        </w:tc>
      </w:tr>
      <w:tr>
        <w:tc>
          <w:tcPr>
            <w:tcW w:type="dxa" w:w="1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2025</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59</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5.643</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204</w:t>
            </w:r>
          </w:p>
        </w:tc>
        <w:tc>
          <w:tcPr>
            <w:tcW w:type="dxa" w:w="20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50,19</w:t>
            </w:r>
          </w:p>
        </w:tc>
        <w:tc>
          <w:tcPr>
            <w:tcW w:type="dxa" w:w="18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41,73</w:t>
            </w:r>
          </w:p>
        </w:tc>
      </w:tr>
    </w:tbl>
    <w:p>
      <w:pPr>
        <w:spacing w:after="180" w:before="70"/>
        <w:jc w:val="center"/>
      </w:pPr>
      <w:r>
        <w:rPr>
          <w:rFonts w:ascii="Times New Roman" w:cs="Times New Roman" w:eastAsia="Times New Roman" w:hAnsi="Times New Roman"/>
          <w:i/>
          <w:iCs/>
          <w:color w:val="555555"/>
          <w:sz w:val="19"/>
          <w:szCs w:val="19"/>
        </w:rPr>
        <w:t>Bảng 6.4 — Dự báo XGBoost trên từng năm kiểm tra; mức ngẫu nhiên = tỉ lệ đúng nếu chọn hướng theo phân bố nhãn của năm đó</w:t>
      </w:r>
    </w:p>
    <w:p>
      <w:pPr>
        <w:jc w:val="center"/>
        <w:spacing w:after="0" w:before="100"/>
      </w:pPr>
      <w:r>
        <w:drawing>
          <wp:inline xmlns:a="http://schemas.openxmlformats.org/drawingml/2006/main" xmlns:pic="http://schemas.openxmlformats.org/drawingml/2006/picture">
            <wp:extent cx="5940000" cy="2019600"/>
            <wp:docPr id="2" name="Picture 2"/>
            <wp:cNvGraphicFramePr>
              <a:graphicFrameLocks noChangeAspect="1"/>
            </wp:cNvGraphicFramePr>
            <a:graphic>
              <a:graphicData uri="http://schemas.openxmlformats.org/drawingml/2006/picture">
                <pic:pic>
                  <pic:nvPicPr>
                    <pic:cNvPr id="0" name="h_walk_forward.png"/>
                    <pic:cNvPicPr/>
                  </pic:nvPicPr>
                  <pic:blipFill>
                    <a:blip r:embed="rId11"/>
                    <a:stretch>
                      <a:fillRect/>
                    </a:stretch>
                  </pic:blipFill>
                  <pic:spPr>
                    <a:xfrm>
                      <a:off x="0" y="0"/>
                      <a:ext cx="5940000" cy="2019600"/>
                    </a:xfrm>
                    <a:prstGeom prst="rect"/>
                  </pic:spPr>
                </pic:pic>
              </a:graphicData>
            </a:graphic>
          </wp:inline>
        </w:drawing>
      </w:r>
    </w:p>
    <w:p>
      <w:pPr>
        <w:spacing w:after="180" w:before="70"/>
        <w:jc w:val="center"/>
      </w:pPr>
      <w:r>
        <w:rPr>
          <w:rFonts w:ascii="Times New Roman" w:cs="Times New Roman" w:eastAsia="Times New Roman" w:hAnsi="Times New Roman"/>
          <w:i/>
          <w:iCs/>
          <w:color w:val="555555"/>
          <w:sz w:val="19"/>
          <w:szCs w:val="19"/>
        </w:rPr>
        <w:t>Hình 6.1 — Độ chính xác và số lượng dự báo trend của XGBoost theo năm</w:t>
      </w:r>
    </w:p>
    <w:p>
      <w:pPr>
        <w:spacing w:after="140" w:line="300"/>
        <w:jc w:val="both"/>
      </w:pPr>
      <w:r>
        <w:rPr>
          <w:rFonts w:ascii="Times New Roman" w:cs="Times New Roman" w:eastAsia="Times New Roman" w:hAnsi="Times New Roman"/>
          <w:sz w:val="22"/>
          <w:szCs w:val="22"/>
        </w:rPr>
        <w:t xml:space="preserve">Trung bình sáu năm, 47,5% dự báo trend của XGBoost trùng với nhãn, so với mức 40,9% nếu chọn hướng ngẫu nhiên theo phân bố nhãn. Lợi thế có thật nhưng </w:t>
      </w:r>
      <w:r>
        <w:rPr>
          <w:rFonts w:ascii="Times New Roman" w:cs="Times New Roman" w:eastAsia="Times New Roman" w:hAnsi="Times New Roman"/>
          <w:b/>
          <w:bCs/>
          <w:sz w:val="22"/>
          <w:szCs w:val="22"/>
        </w:rPr>
        <w:t>không đều</w:t>
      </w:r>
      <w:r>
        <w:rPr>
          <w:rFonts w:ascii="Times New Roman" w:cs="Times New Roman" w:eastAsia="Times New Roman" w:hAnsi="Times New Roman"/>
          <w:sz w:val="22"/>
          <w:szCs w:val="22"/>
        </w:rPr>
        <w:t>: năm 2022 đạt 63,3% trên chỉ 30 dự báo, trong khi năm 2021 không vượt mức ngẫu nhiên. Mô hình cũng rất chọn lọc: mỗi năm chỉ 30 – 436 nến có xu hướng trên gần 5.900 nến, và lệch hẳn về phía downtrend ở năm 2020 và 2025.</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VÌ SAO XGBOOST ÍT DỰ BÁO XU HƯỚNG</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Với ngưỡng τ = 0,50, mô hình chỉ báo xu hướng khi xác suất một hướng vượt 50 % và cách hướng ngược lại ít nhất 15 điểm. Trong bài toán ba lớp với nhãn khá cân bằng, điều kiện này hiếm khi đạt. Đây là đánh đổi có chủ đích: ít lệnh hơn, nhưng mỗi lệnh có độ tin cậy cao hơn — và cũng là lý do XGBoost có mức sụt giảm thấp ở Chương 8.</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Hệ quả phải công bố: một số kịch bản trên XGBoost chỉ có vài chục lệnh trong sáu năm, nên độ tin cậy thống kê của từng kịch bản riêng lẻ thấp. Vì vậy báo cáo luôn đặt số lệnh cạnh mọi chỉ số, và kết luận dựa trên kiểm định ghép cặp nhiều năm thay vì một con số Sharpe đơn lẻ.</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7. THIẾT KẾ BACKTEST: CÔNG CỤ MÔ PHỎNG VÀ CHÍN CHIẾN LƯỢC (NB3)</w:t>
      </w:r>
    </w:p>
    <w:p>
      <w:pPr>
        <w:pStyle w:val="Heading2"/>
        <w:spacing w:after="140" w:before="260"/>
      </w:pPr>
      <w:r>
        <w:rPr>
          <w:rFonts w:ascii="Times New Roman" w:cs="Times New Roman" w:eastAsia="Times New Roman" w:hAnsi="Times New Roman"/>
          <w:b/>
          <w:bCs/>
          <w:color w:val="2E5496"/>
          <w:sz w:val="25"/>
          <w:szCs w:val="25"/>
        </w:rPr>
        <w:t>7.1. Thông số mô phỏng kiểu MetaTrader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00"/>
        <w:gridCol w:w="4360"/>
      </w:tblGrid>
      <w:tr>
        <w:trPr>
          <w:tblHeader/>
        </w:trPr>
        <w:tc>
          <w:tcPr>
            <w:tcW w:type="dxa" w:w="18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Nhóm</w:t>
            </w:r>
          </w:p>
        </w:tc>
        <w:tc>
          <w:tcPr>
            <w:tcW w:type="dxa" w:w="32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Thông số</w:t>
            </w:r>
          </w:p>
        </w:tc>
        <w:tc>
          <w:tcPr>
            <w:tcW w:type="dxa" w:w="43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Giá trị</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Tài khoản</w:t>
            </w:r>
          </w:p>
        </w:tc>
        <w:tc>
          <w:tcPr>
            <w:tcW w:type="dxa" w:w="3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Số dư ban đầu · đòn bẩy · stop-out</w:t>
            </w:r>
          </w:p>
        </w:tc>
        <w:tc>
          <w:tcPr>
            <w:tcW w:type="dxa" w:w="4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10.000 USD · 1:100 · 50 %</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Symbol XAUUSD</w:t>
            </w:r>
          </w:p>
        </w:tc>
        <w:tc>
          <w:tcPr>
            <w:tcW w:type="dxa" w:w="3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 lot · 1 point · spread</w:t>
            </w:r>
          </w:p>
        </w:tc>
        <w:tc>
          <w:tcPr>
            <w:tcW w:type="dxa" w:w="4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100 oz · 0,01 USD · 30 points (0,30 USD)</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Chi phí</w:t>
            </w:r>
          </w:p>
        </w:tc>
        <w:tc>
          <w:tcPr>
            <w:tcW w:type="dxa" w:w="3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Commission · swap</w:t>
            </w:r>
          </w:p>
        </w:tc>
        <w:tc>
          <w:tcPr>
            <w:tcW w:type="dxa" w:w="4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3,5 USD/lot/chiều · swap 0 (điền theo sàn)</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Khối lượng</w:t>
            </w:r>
          </w:p>
        </w:tc>
        <w:tc>
          <w:tcPr>
            <w:tcW w:type="dxa" w:w="3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Rủi ro mỗi lệnh</w:t>
            </w:r>
          </w:p>
        </w:tc>
        <w:tc>
          <w:tcPr>
            <w:tcW w:type="dxa" w:w="4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1 % số dư; lot = rủi ro ÷ (khoảng cách SL × 100 oz), làm tròn xuống 0,01</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Giữ 2 chiều</w:t>
            </w:r>
          </w:p>
        </w:tc>
        <w:tc>
          <w:tcPr>
            <w:tcW w:type="dxa" w:w="32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Ký quỹ phần đối ứng</w:t>
            </w:r>
          </w:p>
        </w:tc>
        <w:tc>
          <w:tcPr>
            <w:tcW w:type="dxa" w:w="4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Tính đủ cho cả hai lệnh (thận trọng)</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Mã hóa lệnh</w:t>
            </w:r>
          </w:p>
        </w:tc>
        <w:tc>
          <w:tcPr>
            <w:tcW w:type="dxa" w:w="32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Đầu ra NB3</w:t>
            </w:r>
          </w:p>
        </w:tc>
        <w:tc>
          <w:tcPr>
            <w:tcW w:type="dxa" w:w="4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BUY = 1 · SELL = 0 (không có FLAT)</w:t>
            </w:r>
          </w:p>
        </w:tc>
      </w:tr>
    </w:tbl>
    <w:p>
      <w:pPr>
        <w:spacing w:after="180" w:before="70"/>
        <w:jc w:val="center"/>
      </w:pPr>
      <w:r>
        <w:rPr>
          <w:rFonts w:ascii="Times New Roman" w:cs="Times New Roman" w:eastAsia="Times New Roman" w:hAnsi="Times New Roman"/>
          <w:i/>
          <w:iCs/>
          <w:color w:val="555555"/>
          <w:sz w:val="19"/>
          <w:szCs w:val="19"/>
        </w:rPr>
        <w:t>Bảng 7.1 — Thông số backtest</w:t>
      </w:r>
    </w:p>
    <w:p>
      <w:pPr>
        <w:pStyle w:val="Heading2"/>
        <w:spacing w:after="140" w:before="260"/>
      </w:pPr>
      <w:r>
        <w:rPr>
          <w:rFonts w:ascii="Times New Roman" w:cs="Times New Roman" w:eastAsia="Times New Roman" w:hAnsi="Times New Roman"/>
          <w:b/>
          <w:bCs/>
          <w:color w:val="2E5496"/>
          <w:sz w:val="25"/>
          <w:szCs w:val="25"/>
        </w:rPr>
        <w:t>7.2. Quy tắc khớp lệnh</w:t>
      </w:r>
    </w:p>
    <w:p>
      <w:pPr>
        <w:pStyle w:val="ListParagraph"/>
        <w:numPr>
          <w:ilvl w:val="0"/>
          <w:numId w:val="24"/>
        </w:numPr>
        <w:spacing w:after="90" w:line="290"/>
        <w:jc w:val="both"/>
      </w:pPr>
      <w:r>
        <w:rPr>
          <w:rFonts w:ascii="Times New Roman" w:cs="Times New Roman" w:eastAsia="Times New Roman" w:hAnsi="Times New Roman"/>
          <w:b/>
          <w:bCs/>
          <w:sz w:val="22"/>
          <w:szCs w:val="22"/>
        </w:rPr>
        <w:t>Vào lệnh ở giá mở nến kế tiếp.</w:t>
      </w:r>
      <w:r>
        <w:rPr>
          <w:rFonts w:ascii="Times New Roman" w:cs="Times New Roman" w:eastAsia="Times New Roman" w:hAnsi="Times New Roman"/>
          <w:sz w:val="22"/>
          <w:szCs w:val="22"/>
        </w:rPr>
        <w:t xml:space="preserve"> Dự báo chốt khi nến t đóng, lệnh khớp ở giá mở nến t + 1 — quy tắc quan trọng nhất chống rò rỉ thời gian.</w:t>
      </w:r>
    </w:p>
    <w:p>
      <w:pPr>
        <w:pStyle w:val="ListParagraph"/>
        <w:numPr>
          <w:ilvl w:val="0"/>
          <w:numId w:val="24"/>
        </w:numPr>
        <w:spacing w:after="90" w:line="290"/>
        <w:jc w:val="both"/>
      </w:pPr>
      <w:r>
        <w:rPr>
          <w:rFonts w:ascii="Times New Roman" w:cs="Times New Roman" w:eastAsia="Times New Roman" w:hAnsi="Times New Roman"/>
          <w:b/>
          <w:bCs/>
          <w:sz w:val="22"/>
          <w:szCs w:val="22"/>
        </w:rPr>
        <w:t>Spread bất đối xứng.</w:t>
      </w:r>
      <w:r>
        <w:rPr>
          <w:rFonts w:ascii="Times New Roman" w:cs="Times New Roman" w:eastAsia="Times New Roman" w:hAnsi="Times New Roman"/>
          <w:sz w:val="22"/>
          <w:szCs w:val="22"/>
        </w:rPr>
        <w:t xml:space="preserve"> Giá dữ liệu là Bid; BUY mua ở Ask = Bid + spread và đóng ở Bid, SELL bán ở Bid và đóng ở Ask.</w:t>
      </w:r>
    </w:p>
    <w:p>
      <w:pPr>
        <w:pStyle w:val="ListParagraph"/>
        <w:numPr>
          <w:ilvl w:val="0"/>
          <w:numId w:val="24"/>
        </w:numPr>
        <w:spacing w:after="90" w:line="290"/>
        <w:jc w:val="both"/>
      </w:pPr>
      <w:r>
        <w:rPr>
          <w:rFonts w:ascii="Times New Roman" w:cs="Times New Roman" w:eastAsia="Times New Roman" w:hAnsi="Times New Roman"/>
          <w:b/>
          <w:bCs/>
          <w:sz w:val="22"/>
          <w:szCs w:val="22"/>
        </w:rPr>
        <w:t>SL/TP theo phần trăm giá vào lệnh, kiểm tra bằng High/Low trong nến.</w:t>
      </w:r>
      <w:r>
        <w:rPr>
          <w:rFonts w:ascii="Times New Roman" w:cs="Times New Roman" w:eastAsia="Times New Roman" w:hAnsi="Times New Roman"/>
          <w:sz w:val="22"/>
          <w:szCs w:val="22"/>
        </w:rPr>
        <w:t xml:space="preserve"> Một nến chạm cả SL lẫn TP → coi như SL khớp trước.</w:t>
      </w:r>
    </w:p>
    <w:p>
      <w:pPr>
        <w:pStyle w:val="ListParagraph"/>
        <w:numPr>
          <w:ilvl w:val="0"/>
          <w:numId w:val="24"/>
        </w:numPr>
        <w:spacing w:after="90" w:line="290"/>
        <w:jc w:val="both"/>
      </w:pPr>
      <w:r>
        <w:rPr>
          <w:rFonts w:ascii="Times New Roman" w:cs="Times New Roman" w:eastAsia="Times New Roman" w:hAnsi="Times New Roman"/>
          <w:b/>
          <w:bCs/>
          <w:sz w:val="22"/>
          <w:szCs w:val="22"/>
        </w:rPr>
        <w:t>Nhảy giá.</w:t>
      </w:r>
      <w:r>
        <w:rPr>
          <w:rFonts w:ascii="Times New Roman" w:cs="Times New Roman" w:eastAsia="Times New Roman" w:hAnsi="Times New Roman"/>
          <w:sz w:val="22"/>
          <w:szCs w:val="22"/>
        </w:rPr>
        <w:t xml:space="preserve"> Giá mở vượt qua SL hoặc TP (ví dụ khoảng trống đầu tuần) → khớp ở giá mở, như MT5.</w:t>
      </w:r>
    </w:p>
    <w:p>
      <w:pPr>
        <w:pStyle w:val="ListParagraph"/>
        <w:numPr>
          <w:ilvl w:val="0"/>
          <w:numId w:val="24"/>
        </w:numPr>
        <w:spacing w:after="90" w:line="290"/>
        <w:jc w:val="both"/>
      </w:pPr>
      <w:r>
        <w:rPr>
          <w:rFonts w:ascii="Times New Roman" w:cs="Times New Roman" w:eastAsia="Times New Roman" w:hAnsi="Times New Roman"/>
          <w:b/>
          <w:bCs/>
          <w:sz w:val="22"/>
          <w:szCs w:val="22"/>
        </w:rPr>
        <w:t>Đánh 2 chiều.</w:t>
      </w:r>
      <w:r>
        <w:rPr>
          <w:rFonts w:ascii="Times New Roman" w:cs="Times New Roman" w:eastAsia="Times New Roman" w:hAnsi="Times New Roman"/>
          <w:sz w:val="22"/>
          <w:szCs w:val="22"/>
        </w:rPr>
        <w:t xml:space="preserve"> Tối đa một BUY và một SELL cùng lúc, mỗi lệnh có SL/TP riêng; cùng chiều không nhồi thêm. Riêng S13 đảo chiều thay vì giữ 2 chiều.</w:t>
      </w:r>
    </w:p>
    <w:p>
      <w:pPr>
        <w:pStyle w:val="ListParagraph"/>
        <w:numPr>
          <w:ilvl w:val="0"/>
          <w:numId w:val="24"/>
        </w:numPr>
        <w:spacing w:after="90" w:line="290"/>
        <w:jc w:val="both"/>
      </w:pPr>
      <w:r>
        <w:rPr>
          <w:rFonts w:ascii="Times New Roman" w:cs="Times New Roman" w:eastAsia="Times New Roman" w:hAnsi="Times New Roman"/>
          <w:sz w:val="22"/>
          <w:szCs w:val="22"/>
        </w:rPr>
        <w:t>Swap qua đêm lúc 22:00 UTC từ thứ Hai tới thứ Sáu, thứ Tư tính ba lần; commission hai chiều.</w:t>
      </w:r>
    </w:p>
    <w:p>
      <w:pPr>
        <w:pStyle w:val="ListParagraph"/>
        <w:numPr>
          <w:ilvl w:val="0"/>
          <w:numId w:val="24"/>
        </w:numPr>
        <w:spacing w:after="90" w:line="290"/>
        <w:jc w:val="both"/>
      </w:pPr>
      <w:r>
        <w:rPr>
          <w:rFonts w:ascii="Times New Roman" w:cs="Times New Roman" w:eastAsia="Times New Roman" w:hAnsi="Times New Roman"/>
          <w:b/>
          <w:bCs/>
          <w:sz w:val="22"/>
          <w:szCs w:val="22"/>
        </w:rPr>
        <w:t>Stop-out.</w:t>
      </w:r>
      <w:r>
        <w:rPr>
          <w:rFonts w:ascii="Times New Roman" w:cs="Times New Roman" w:eastAsia="Times New Roman" w:hAnsi="Times New Roman"/>
          <w:sz w:val="22"/>
          <w:szCs w:val="22"/>
        </w:rPr>
        <w:t xml:space="preserve"> Mức ký quỹ ≤ 50 % → đóng lệnh đang lỗ nhiều nhất. Hết dữ liệu mà còn lệnh → đóng ở giá cuối.</w:t>
      </w:r>
    </w:p>
    <w:p>
      <w:pPr>
        <w:pStyle w:val="Heading2"/>
        <w:spacing w:after="140" w:before="260"/>
      </w:pPr>
      <w:r>
        <w:rPr>
          <w:rFonts w:ascii="Times New Roman" w:cs="Times New Roman" w:eastAsia="Times New Roman" w:hAnsi="Times New Roman"/>
          <w:b/>
          <w:bCs/>
          <w:color w:val="2E5496"/>
          <w:sz w:val="25"/>
          <w:szCs w:val="25"/>
        </w:rPr>
        <w:t>7.3. Chín chiến lược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650"/>
        <w:gridCol w:w="1850"/>
        <w:gridCol w:w="1800"/>
        <w:gridCol w:w="1850"/>
        <w:gridCol w:w="1610"/>
      </w:tblGrid>
      <w:tr>
        <w:trPr>
          <w:tblHeader/>
        </w:trPr>
        <w:tc>
          <w:tcPr>
            <w:tcW w:type="dxa" w:w="6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Mã</w:t>
            </w:r>
          </w:p>
        </w:tc>
        <w:tc>
          <w:tcPr>
            <w:tcW w:type="dxa" w:w="165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Chiến lược</w:t>
            </w:r>
          </w:p>
        </w:tc>
        <w:tc>
          <w:tcPr>
            <w:tcW w:type="dxa" w:w="185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Uptrend</w:t>
            </w:r>
          </w:p>
        </w:tc>
        <w:tc>
          <w:tcPr>
            <w:tcW w:type="dxa" w:w="18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Sideway</w:t>
            </w:r>
          </w:p>
        </w:tc>
        <w:tc>
          <w:tcPr>
            <w:tcW w:type="dxa" w:w="185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Downtrend</w:t>
            </w:r>
          </w:p>
        </w:tc>
        <w:tc>
          <w:tcPr>
            <w:tcW w:type="dxa" w:w="161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Quản lý lệnh</w:t>
            </w:r>
          </w:p>
        </w:tc>
      </w:tr>
      <w:tr>
        <w:tc>
          <w:tcPr>
            <w:tcW w:type="dxa" w:w="6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w:t>
            </w:r>
          </w:p>
        </w:tc>
        <w:tc>
          <w:tcPr>
            <w:tcW w:type="dxa" w:w="16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Position theo trend</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w:t>
            </w:r>
          </w:p>
        </w:tc>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w:t>
            </w:r>
          </w:p>
        </w:tc>
        <w:tc>
          <w:tcPr>
            <w:tcW w:type="dxa" w:w="161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3 % · 1:3</w:t>
            </w:r>
          </w:p>
        </w:tc>
      </w:tr>
      <w:tr>
        <w:tc>
          <w:tcPr>
            <w:tcW w:type="dxa" w:w="6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w:t>
            </w:r>
          </w:p>
        </w:tc>
        <w:tc>
          <w:tcPr>
            <w:tcW w:type="dxa" w:w="16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Trend xác nhận 3 nến</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 khi 3 nến liền uptrend</w:t>
            </w:r>
          </w:p>
        </w:tc>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 khi 3 nến liền downtrend</w:t>
            </w:r>
          </w:p>
        </w:tc>
        <w:tc>
          <w:tcPr>
            <w:tcW w:type="dxa" w:w="161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1 % · 1:2</w:t>
            </w:r>
          </w:p>
        </w:tc>
      </w:tr>
      <w:tr>
        <w:tc>
          <w:tcPr>
            <w:tcW w:type="dxa" w:w="6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S07</w:t>
            </w:r>
          </w:p>
        </w:tc>
        <w:tc>
          <w:tcPr>
            <w:tcW w:type="dxa" w:w="16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Bắt đầu xu hướng</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 khi vừa chuyển sang uptrend</w:t>
            </w:r>
          </w:p>
        </w:tc>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 khi vừa chuyển sang downtrend</w:t>
            </w:r>
          </w:p>
        </w:tc>
        <w:tc>
          <w:tcPr>
            <w:tcW w:type="dxa" w:w="161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1 % · 1:2</w:t>
            </w:r>
          </w:p>
        </w:tc>
      </w:tr>
      <w:tr>
        <w:tc>
          <w:tcPr>
            <w:tcW w:type="dxa" w:w="6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S08</w:t>
            </w:r>
          </w:p>
        </w:tc>
        <w:tc>
          <w:tcPr>
            <w:tcW w:type="dxa" w:w="16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Vào lệnh khi giá hồi</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 nếu Close &lt; MA20</w:t>
            </w:r>
          </w:p>
        </w:tc>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 nếu Close &gt; MA20</w:t>
            </w:r>
          </w:p>
        </w:tc>
        <w:tc>
          <w:tcPr>
            <w:tcW w:type="dxa" w:w="161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1 % · 1:2</w:t>
            </w:r>
          </w:p>
        </w:tc>
      </w:tr>
      <w:tr>
        <w:tc>
          <w:tcPr>
            <w:tcW w:type="dxa" w:w="6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S09</w:t>
            </w:r>
          </w:p>
        </w:tc>
        <w:tc>
          <w:tcPr>
            <w:tcW w:type="dxa" w:w="16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Trend + đánh vùng</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 (SL 1 % · 1:2)</w:t>
            </w:r>
          </w:p>
        </w:tc>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 ở BB dưới, SELL ở BB trên (SL 0,3 % · 1:1,5)</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 (SL 1 % · 1:2)</w:t>
            </w:r>
          </w:p>
        </w:tc>
        <w:tc>
          <w:tcPr>
            <w:tcW w:type="dxa" w:w="161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Theo trạng thái</w:t>
            </w:r>
          </w:p>
        </w:tc>
      </w:tr>
      <w:tr>
        <w:tc>
          <w:tcPr>
            <w:tcW w:type="dxa" w:w="6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S12</w:t>
            </w:r>
          </w:p>
        </w:tc>
        <w:tc>
          <w:tcPr>
            <w:tcW w:type="dxa" w:w="16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Đánh ngược dự báo</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w:t>
            </w:r>
          </w:p>
        </w:tc>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w:t>
            </w:r>
          </w:p>
        </w:tc>
        <w:tc>
          <w:tcPr>
            <w:tcW w:type="dxa" w:w="161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1 % · 1:2</w:t>
            </w:r>
          </w:p>
        </w:tc>
      </w:tr>
      <w:tr>
        <w:tc>
          <w:tcPr>
            <w:tcW w:type="dxa" w:w="6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w:t>
            </w:r>
          </w:p>
        </w:tc>
        <w:tc>
          <w:tcPr>
            <w:tcW w:type="dxa" w:w="16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Luôn theo trend, đảo chiều</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 (đang SELL → đóng rồi BUY)</w:t>
            </w:r>
          </w:p>
        </w:tc>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giữ lệnh</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 (đang BUY → đóng rồi SELL)</w:t>
            </w:r>
          </w:p>
        </w:tc>
        <w:tc>
          <w:tcPr>
            <w:tcW w:type="dxa" w:w="161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2 %, không TP</w:t>
            </w:r>
          </w:p>
        </w:tc>
      </w:tr>
      <w:tr>
        <w:tc>
          <w:tcPr>
            <w:tcW w:type="dxa" w:w="6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S14</w:t>
            </w:r>
          </w:p>
        </w:tc>
        <w:tc>
          <w:tcPr>
            <w:tcW w:type="dxa" w:w="16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Trend + dời SL về hòa vốn</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w:t>
            </w:r>
          </w:p>
        </w:tc>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w:t>
            </w:r>
          </w:p>
        </w:tc>
        <w:tc>
          <w:tcPr>
            <w:tcW w:type="dxa" w:w="161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1 % · TP 3 %; lãi 1R → SL về giá vào</w:t>
            </w:r>
          </w:p>
        </w:tc>
      </w:tr>
      <w:tr>
        <w:tc>
          <w:tcPr>
            <w:tcW w:type="dxa" w:w="6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S15</w:t>
            </w:r>
          </w:p>
        </w:tc>
        <w:tc>
          <w:tcPr>
            <w:tcW w:type="dxa" w:w="16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Trend + SL kéo theo giá</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BUY</w:t>
            </w:r>
          </w:p>
        </w:tc>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không vào</w:t>
            </w:r>
          </w:p>
        </w:tc>
        <w:tc>
          <w:tcPr>
            <w:tcW w:type="dxa" w:w="18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SELL</w:t>
            </w:r>
          </w:p>
        </w:tc>
        <w:tc>
          <w:tcPr>
            <w:tcW w:type="dxa" w:w="161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8"/>
                <w:szCs w:val="18"/>
              </w:rPr>
              <w:t>SL 1 % kéo theo giá tốt nhất, không TP</w:t>
            </w:r>
          </w:p>
        </w:tc>
      </w:tr>
    </w:tbl>
    <w:p>
      <w:pPr>
        <w:spacing w:after="180" w:before="70"/>
        <w:jc w:val="center"/>
      </w:pPr>
      <w:r>
        <w:rPr>
          <w:rFonts w:ascii="Times New Roman" w:cs="Times New Roman" w:eastAsia="Times New Roman" w:hAnsi="Times New Roman"/>
          <w:i/>
          <w:iCs/>
          <w:color w:val="555555"/>
          <w:sz w:val="19"/>
          <w:szCs w:val="19"/>
        </w:rPr>
        <w:t>Bảng 7.2 — Chín chiến lược: hành động theo từng trạng thái dự báo và cách quản lý lệnh</w:t>
      </w:r>
    </w:p>
    <w:p>
      <w:pPr>
        <w:spacing w:after="140" w:line="300"/>
        <w:jc w:val="both"/>
      </w:pPr>
      <w:r>
        <w:rPr>
          <w:rFonts w:ascii="Times New Roman" w:cs="Times New Roman" w:eastAsia="Times New Roman" w:hAnsi="Times New Roman"/>
          <w:sz w:val="22"/>
          <w:szCs w:val="22"/>
        </w:rPr>
        <w:t xml:space="preserve">Chín chiến lược chia thành năm nhóm câu hỏi. </w:t>
      </w:r>
      <w:r>
        <w:rPr>
          <w:rFonts w:ascii="Times New Roman" w:cs="Times New Roman" w:eastAsia="Times New Roman" w:hAnsi="Times New Roman"/>
          <w:b/>
          <w:bCs/>
          <w:sz w:val="22"/>
          <w:szCs w:val="22"/>
        </w:rPr>
        <w:t>S03</w:t>
      </w:r>
      <w:r>
        <w:rPr>
          <w:rFonts w:ascii="Times New Roman" w:cs="Times New Roman" w:eastAsia="Times New Roman" w:hAnsi="Times New Roman"/>
          <w:sz w:val="22"/>
          <w:szCs w:val="22"/>
        </w:rPr>
        <w:t xml:space="preserve"> kiểm tra giá trị của dự báo ở kỳ hạn dài. </w:t>
      </w:r>
      <w:r>
        <w:rPr>
          <w:rFonts w:ascii="Times New Roman" w:cs="Times New Roman" w:eastAsia="Times New Roman" w:hAnsi="Times New Roman"/>
          <w:b/>
          <w:bCs/>
          <w:sz w:val="22"/>
          <w:szCs w:val="22"/>
        </w:rPr>
        <w:t>S06, S07, S08</w:t>
      </w:r>
      <w:r>
        <w:rPr>
          <w:rFonts w:ascii="Times New Roman" w:cs="Times New Roman" w:eastAsia="Times New Roman" w:hAnsi="Times New Roman"/>
          <w:sz w:val="22"/>
          <w:szCs w:val="22"/>
        </w:rPr>
        <w:t xml:space="preserve"> kiểm tra việc lọc tín hiệu có làm tăng chất lượng lệnh không. </w:t>
      </w:r>
      <w:r>
        <w:rPr>
          <w:rFonts w:ascii="Times New Roman" w:cs="Times New Roman" w:eastAsia="Times New Roman" w:hAnsi="Times New Roman"/>
          <w:b/>
          <w:bCs/>
          <w:sz w:val="22"/>
          <w:szCs w:val="22"/>
        </w:rPr>
        <w:t>S09</w:t>
      </w:r>
      <w:r>
        <w:rPr>
          <w:rFonts w:ascii="Times New Roman" w:cs="Times New Roman" w:eastAsia="Times New Roman" w:hAnsi="Times New Roman"/>
          <w:sz w:val="22"/>
          <w:szCs w:val="22"/>
        </w:rPr>
        <w:t xml:space="preserve"> kiểm tra dự báo sideway có khai thác được không. </w:t>
      </w:r>
      <w:r>
        <w:rPr>
          <w:rFonts w:ascii="Times New Roman" w:cs="Times New Roman" w:eastAsia="Times New Roman" w:hAnsi="Times New Roman"/>
          <w:b/>
          <w:bCs/>
          <w:sz w:val="22"/>
          <w:szCs w:val="22"/>
        </w:rPr>
        <w:t>S12</w:t>
      </w:r>
      <w:r>
        <w:rPr>
          <w:rFonts w:ascii="Times New Roman" w:cs="Times New Roman" w:eastAsia="Times New Roman" w:hAnsi="Times New Roman"/>
          <w:sz w:val="22"/>
          <w:szCs w:val="22"/>
        </w:rPr>
        <w:t xml:space="preserve"> là phép kiểm chứng ngược. </w:t>
      </w:r>
      <w:r>
        <w:rPr>
          <w:rFonts w:ascii="Times New Roman" w:cs="Times New Roman" w:eastAsia="Times New Roman" w:hAnsi="Times New Roman"/>
          <w:b/>
          <w:bCs/>
          <w:sz w:val="22"/>
          <w:szCs w:val="22"/>
        </w:rPr>
        <w:t>S13, S14, S15</w:t>
      </w:r>
      <w:r>
        <w:rPr>
          <w:rFonts w:ascii="Times New Roman" w:cs="Times New Roman" w:eastAsia="Times New Roman" w:hAnsi="Times New Roman"/>
          <w:sz w:val="22"/>
          <w:szCs w:val="22"/>
        </w:rPr>
        <w:t xml:space="preserve"> giữ nguyên tín hiệu vào lệnh, chỉ thay cách thoát lệnh.</w:t>
      </w:r>
    </w:p>
    <w:p>
      <w:pPr>
        <w:pStyle w:val="Heading2"/>
        <w:spacing w:after="140" w:before="260"/>
      </w:pPr>
      <w:r>
        <w:rPr>
          <w:rFonts w:ascii="Times New Roman" w:cs="Times New Roman" w:eastAsia="Times New Roman" w:hAnsi="Times New Roman"/>
          <w:b/>
          <w:bCs/>
          <w:color w:val="2E5496"/>
          <w:sz w:val="25"/>
          <w:szCs w:val="25"/>
        </w:rPr>
        <w:t>7.4. Mốc chuẩn và đối chứng ngẫu nhiên</w:t>
      </w:r>
    </w:p>
    <w:p>
      <w:pPr>
        <w:pStyle w:val="ListParagraph"/>
        <w:numPr>
          <w:ilvl w:val="0"/>
          <w:numId w:val="25"/>
        </w:numPr>
        <w:spacing w:after="90" w:line="290"/>
        <w:jc w:val="both"/>
      </w:pPr>
      <w:r>
        <w:rPr>
          <w:rFonts w:ascii="Times New Roman" w:cs="Times New Roman" w:eastAsia="Times New Roman" w:hAnsi="Times New Roman"/>
          <w:b/>
          <w:bCs/>
          <w:sz w:val="22"/>
          <w:szCs w:val="22"/>
        </w:rPr>
        <w:t>Mua và giữ (B0).</w:t>
      </w:r>
      <w:r>
        <w:rPr>
          <w:rFonts w:ascii="Times New Roman" w:cs="Times New Roman" w:eastAsia="Times New Roman" w:hAnsi="Times New Roman"/>
          <w:sz w:val="22"/>
          <w:szCs w:val="22"/>
        </w:rPr>
        <w:t xml:space="preserve"> BUY ở nến đầu, giữ tới nến cuối, lot cố định 0,10, không SL/TP. Đây là mốc tối thiểu: một chiến lược chủ động không vượt được mua-và-giữ về hiệu quả điều chỉnh rủi ro thì không có lý do để dùng.</w:t>
      </w:r>
    </w:p>
    <w:p>
      <w:pPr>
        <w:pStyle w:val="ListParagraph"/>
        <w:numPr>
          <w:ilvl w:val="0"/>
          <w:numId w:val="25"/>
        </w:numPr>
        <w:spacing w:after="90" w:line="290"/>
        <w:jc w:val="both"/>
      </w:pPr>
      <w:r>
        <w:rPr>
          <w:rFonts w:ascii="Times New Roman" w:cs="Times New Roman" w:eastAsia="Times New Roman" w:hAnsi="Times New Roman"/>
          <w:b/>
          <w:bCs/>
          <w:sz w:val="22"/>
          <w:szCs w:val="22"/>
        </w:rPr>
        <w:t>Dự báo ngẫu nhiên (B1).</w:t>
      </w:r>
      <w:r>
        <w:rPr>
          <w:rFonts w:ascii="Times New Roman" w:cs="Times New Roman" w:eastAsia="Times New Roman" w:hAnsi="Times New Roman"/>
          <w:sz w:val="22"/>
          <w:szCs w:val="22"/>
        </w:rPr>
        <w:t xml:space="preserve"> Với mỗi nguồn và mỗi chiến lược, chuỗi dự báo bị xáo trộn ngẫu nhiên 50 lần — giữ nguyên số nến uptrend, sideway, downtrend — rồi backtest lại. Phân vị của kịch bản thật trong phân phối này cho biết dự báo có năng lực thật hay chỉ may mắn; ngưỡng tin cậy là phân vị 95 %.</w:t>
      </w:r>
    </w:p>
    <w:p>
      <w:pPr>
        <w:pStyle w:val="Heading2"/>
        <w:spacing w:after="140" w:before="260"/>
      </w:pPr>
      <w:r>
        <w:rPr>
          <w:rFonts w:ascii="Times New Roman" w:cs="Times New Roman" w:eastAsia="Times New Roman" w:hAnsi="Times New Roman"/>
          <w:b/>
          <w:bCs/>
          <w:color w:val="2E5496"/>
          <w:sz w:val="25"/>
          <w:szCs w:val="25"/>
        </w:rPr>
        <w:t>7.5. Kiểm chứng công cụ backtest</w:t>
      </w:r>
    </w:p>
    <w:p>
      <w:pPr>
        <w:spacing w:after="140" w:line="300"/>
        <w:jc w:val="both"/>
      </w:pPr>
      <w:r>
        <w:rPr>
          <w:rFonts w:ascii="Times New Roman" w:cs="Times New Roman" w:eastAsia="Times New Roman" w:hAnsi="Times New Roman"/>
          <w:sz w:val="22"/>
          <w:szCs w:val="22"/>
        </w:rPr>
        <w:t>Trước khi tin vào bất kỳ kết quả nào, công cụ mô phỏng được kiểm tra bằng 25 ca dựng tay có đáp án biết trước — tất cả đều đạt. Một ví dụ tính tay được dùng làm chuẩn:</w:t>
      </w:r>
    </w:p>
    <w:p>
      <w:pPr>
        <w:spacing w:after="140" w:before="100"/>
        <w:jc w:val="center"/>
      </w:pPr>
      <w:r>
        <w:rPr>
          <w:rFonts w:ascii="Cambria Math" w:cs="Cambria Math" w:eastAsia="Cambria Math" w:hAnsi="Cambria Math"/>
          <w:i/>
          <w:iCs/>
          <w:sz w:val="22"/>
          <w:szCs w:val="22"/>
        </w:rPr>
        <w:t>BUY ở 2.000,30 (Ask), SL 1 % = 1.980,297 → lot = 100 ÷ (20,003 × 100) = 0,0499 → 0,04</w:t>
      </w:r>
    </w:p>
    <w:p>
      <w:pPr>
        <w:spacing w:after="140" w:before="100"/>
        <w:jc w:val="center"/>
      </w:pPr>
      <w:r>
        <w:rPr>
          <w:rFonts w:ascii="Cambria Math" w:cs="Cambria Math" w:eastAsia="Cambria Math" w:hAnsi="Cambria Math"/>
          <w:i/>
          <w:iCs/>
          <w:sz w:val="22"/>
          <w:szCs w:val="22"/>
        </w:rPr>
        <w:t>Chạm TP 2 % = 2.040,306 → lãi = 40,006 × 0,04 × 100 − 2 × 3,5 × 0,04 = 159,744 USD (≈ +2R)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000"/>
        <w:gridCol w:w="2560"/>
      </w:tblGrid>
      <w:tr>
        <w:trPr>
          <w:tblHeader/>
        </w:trPr>
        <w:tc>
          <w:tcPr>
            <w:tcW w:type="dxa" w:w="18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Nhóm kiểm tra</w:t>
            </w:r>
          </w:p>
        </w:tc>
        <w:tc>
          <w:tcPr>
            <w:tcW w:type="dxa" w:w="50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Nội dung</w:t>
            </w:r>
          </w:p>
        </w:tc>
        <w:tc>
          <w:tcPr>
            <w:tcW w:type="dxa" w:w="25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Kết quả</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Khớp lệnh</w:t>
            </w:r>
          </w:p>
        </w:tc>
        <w:tc>
          <w:tcPr>
            <w:tcW w:type="dxa" w:w="5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Lot 1 % rủi ro; chạm TP đúng giá; SELL khớp ở Bid, đóng ở Ask</w:t>
            </w:r>
          </w:p>
        </w:tc>
        <w:tc>
          <w:tcPr>
            <w:tcW w:type="dxa" w:w="2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Đạt — lãi khớp công thức tới 10⁻⁶ USD</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Thứ tự chạm</w:t>
            </w:r>
          </w:p>
        </w:tc>
        <w:tc>
          <w:tcPr>
            <w:tcW w:type="dxa" w:w="5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Nến chạm cả SL và TP → SL trước; nhảy giá qua SL → khớp ở giá mở</w:t>
            </w:r>
          </w:p>
        </w:tc>
        <w:tc>
          <w:tcPr>
            <w:tcW w:type="dxa" w:w="2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Đạt</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Đánh 2 chiều</w:t>
            </w:r>
          </w:p>
        </w:tc>
        <w:tc>
          <w:tcPr>
            <w:tcW w:type="dxa" w:w="5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BUY và SELL cùng mở, đóng độc lập trong cùng một nến; cùng chiều không nhồi</w:t>
            </w:r>
          </w:p>
        </w:tc>
        <w:tc>
          <w:tcPr>
            <w:tcW w:type="dxa" w:w="2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Đạt</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Quản lý lệnh</w:t>
            </w:r>
          </w:p>
        </w:tc>
        <w:tc>
          <w:tcPr>
            <w:tcW w:type="dxa" w:w="5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Dời SL về hòa vốn khi lãi 1R; SL kéo theo đỉnh; đảo chiều theo tín hiệu</w:t>
            </w:r>
          </w:p>
        </w:tc>
        <w:tc>
          <w:tcPr>
            <w:tcW w:type="dxa" w:w="2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Đạt</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Tiền và ký quỹ</w:t>
            </w:r>
          </w:p>
        </w:tc>
        <w:tc>
          <w:tcPr>
            <w:tcW w:type="dxa" w:w="5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đủ ký quỹ → bỏ lệnh; balance cuối = số dư đầu + Σ lãi/lỗ</w:t>
            </w:r>
          </w:p>
        </w:tc>
        <w:tc>
          <w:tcPr>
            <w:tcW w:type="dxa" w:w="2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Đạt</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Chiến lược</w:t>
            </w:r>
          </w:p>
        </w:tc>
        <w:tc>
          <w:tcPr>
            <w:tcW w:type="dxa" w:w="5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Đầu ra của từng chiến lược trên chuỗi dự báo biết trước</w:t>
            </w:r>
          </w:p>
        </w:tc>
        <w:tc>
          <w:tcPr>
            <w:tcW w:type="dxa" w:w="2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Đạt</w:t>
            </w:r>
          </w:p>
        </w:tc>
      </w:tr>
    </w:tbl>
    <w:p>
      <w:pPr>
        <w:spacing w:after="180" w:before="70"/>
        <w:jc w:val="center"/>
      </w:pPr>
      <w:r>
        <w:rPr>
          <w:rFonts w:ascii="Times New Roman" w:cs="Times New Roman" w:eastAsia="Times New Roman" w:hAnsi="Times New Roman"/>
          <w:i/>
          <w:iCs/>
          <w:color w:val="555555"/>
          <w:sz w:val="19"/>
          <w:szCs w:val="19"/>
        </w:rPr>
        <w:t>Bảng 7.3 — Các nhóm kiểm tra công cụ backtest (25 / 25 ca đạt)</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VÌ SAO CHO PHÉP ĐÁNH 2 CHIỀU</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Khi chỉ đóng lệnh bằng SL hoặc TP, một lệnh có thể kéo dài nhiều tuần. Nếu cấm mở lệnh ngược chiều trong thời gian đó, mọi dự báo downtrend xuất hiện khi đang giữ BUY sẽ bị bỏ qua — chiến lược bị khóa vào dự báo đầu tiên. Cho phép giữ đồng thời một BUY và một SELL giúp mọi dự báo đều được thử, với ký quỹ tính đủ cho cả hai lệnh.</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8. KẾT QUẢ THỰC NGHIỆM</w:t>
      </w:r>
    </w:p>
    <w:p>
      <w:pPr>
        <w:spacing w:after="140" w:line="300"/>
        <w:jc w:val="both"/>
      </w:pPr>
      <w:r>
        <w:rPr>
          <w:rFonts w:ascii="Times New Roman" w:cs="Times New Roman" w:eastAsia="Times New Roman" w:hAnsi="Times New Roman"/>
          <w:sz w:val="22"/>
          <w:szCs w:val="22"/>
        </w:rPr>
        <w:t>Giai đoạn backtest chung: 2020-01-01 → 2025-12-31, 35.481 nến H1. Mọi con số dưới đây là kết quả ngoài mẫu: dự báo XGBoost của mỗi năm do mô hình chỉ học dữ liệu trước năm đó; các luật kỹ thuật không có tham số học từ dữ liệu.</w:t>
      </w:r>
    </w:p>
    <w:p>
      <w:pPr>
        <w:pStyle w:val="Heading2"/>
        <w:spacing w:after="140" w:before="260"/>
      </w:pPr>
      <w:r>
        <w:rPr>
          <w:rFonts w:ascii="Times New Roman" w:cs="Times New Roman" w:eastAsia="Times New Roman" w:hAnsi="Times New Roman"/>
          <w:b/>
          <w:bCs/>
          <w:color w:val="2E5496"/>
          <w:sz w:val="25"/>
          <w:szCs w:val="25"/>
        </w:rPr>
        <w:t>8.1. Tổng quan 45 kịch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950"/>
        <w:gridCol w:w="780"/>
        <w:gridCol w:w="820"/>
        <w:gridCol w:w="780"/>
        <w:gridCol w:w="780"/>
        <w:gridCol w:w="700"/>
        <w:gridCol w:w="760"/>
        <w:gridCol w:w="900"/>
        <w:gridCol w:w="840"/>
        <w:gridCol w:w="900"/>
      </w:tblGrid>
      <w:tr>
        <w:trPr>
          <w:tblHeader/>
        </w:trPr>
        <w:tc>
          <w:tcPr>
            <w:tcW w:type="dxa" w:w="115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7"/>
                <w:szCs w:val="17"/>
              </w:rPr>
              <w:t>Kịch bản</w:t>
            </w:r>
          </w:p>
        </w:tc>
        <w:tc>
          <w:tcPr>
            <w:tcW w:type="dxa" w:w="95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Net (USD)</w:t>
            </w:r>
          </w:p>
        </w:tc>
        <w:tc>
          <w:tcPr>
            <w:tcW w:type="dxa" w:w="78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CAGR %</w:t>
            </w:r>
          </w:p>
        </w:tc>
        <w:tc>
          <w:tcPr>
            <w:tcW w:type="dxa" w:w="82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Sharpe</w:t>
            </w:r>
          </w:p>
        </w:tc>
        <w:tc>
          <w:tcPr>
            <w:tcW w:type="dxa" w:w="78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MDD %</w:t>
            </w:r>
          </w:p>
        </w:tc>
        <w:tc>
          <w:tcPr>
            <w:tcW w:type="dxa" w:w="78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Năm lãi</w:t>
            </w:r>
          </w:p>
        </w:tc>
        <w:tc>
          <w:tcPr>
            <w:tcW w:type="dxa" w:w="7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Lệnh</w:t>
            </w:r>
          </w:p>
        </w:tc>
        <w:tc>
          <w:tcPr>
            <w:tcW w:type="dxa" w:w="7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Win %</w:t>
            </w:r>
          </w:p>
        </w:tc>
        <w:tc>
          <w:tcPr>
            <w:tcW w:type="dxa" w:w="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Hòa vốn %</w:t>
            </w:r>
          </w:p>
        </w:tc>
        <w:tc>
          <w:tcPr>
            <w:tcW w:type="dxa" w:w="84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E[R]</w:t>
            </w:r>
          </w:p>
        </w:tc>
        <w:tc>
          <w:tcPr>
            <w:tcW w:type="dxa" w:w="9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7"/>
                <w:szCs w:val="17"/>
              </w:rPr>
              <w:t>Phân vị</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S03-XGB</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1.769</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2,75</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0,995</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2,56</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74</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31,1</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25,0</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0,206</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98</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S06-TH</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2.058</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3,17</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0,910</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4,66</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53</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47,2</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0,412</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S13-MA</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3.796</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5,51</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0,843</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7,92</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1.314</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36,8</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0,032</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S08-MA</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4.196</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6,01</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0,711</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8,87</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800</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35,2</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0,052</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S06-MA</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4.597</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6,51</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0,623</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14,69</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1.022</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35,0</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0,044</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98</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S06-XGB</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2.101</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3,23</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0,622</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13,06</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109</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39,5</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0,195</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S09-MA</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4.215</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6,04</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0,591</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14,20</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1.043</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34,9</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0,040</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S14-MA</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4.164</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5,98</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0,570</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15,27</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1.016</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18,7</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25,0</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0,040</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S12-RSI</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3.644</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5,32</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0,517</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18,27</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858</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35,0</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0,042</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98</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S07-MA</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2.787</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4,18</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0,505</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10,01</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678</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35,1</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0,046</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98</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S12-MACD</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2.297</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3,51</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0,474</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14,49</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905</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34,5</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33,3</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0,029</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94</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S14-XGB</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1.956</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3,02</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0,443</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18,44</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257</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18,7</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25,0</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0,083</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92</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S13-XGB</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1.239</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1,97</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0,378</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16,04</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166</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44,0</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0,086</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S14-MACD</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1.845</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2,86</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0,360</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12,94</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1.009</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17,4</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25,0</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0,018</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72</w:t>
            </w:r>
          </w:p>
        </w:tc>
      </w:tr>
      <w:tr>
        <w:tc>
          <w:tcPr>
            <w:tcW w:type="dxa" w:w="115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S15-MA</w:t>
            </w:r>
          </w:p>
        </w:tc>
        <w:tc>
          <w:tcPr>
            <w:tcW w:type="dxa" w:w="9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2.096</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3,22</w:t>
            </w:r>
          </w:p>
        </w:tc>
        <w:tc>
          <w:tcPr>
            <w:tcW w:type="dxa" w:w="82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0,325</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25,26</w:t>
            </w:r>
          </w:p>
        </w:tc>
        <w:tc>
          <w:tcPr>
            <w:tcW w:type="dxa" w:w="78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3/6</w:t>
            </w:r>
          </w:p>
        </w:tc>
        <w:tc>
          <w:tcPr>
            <w:tcW w:type="dxa" w:w="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1.684</w:t>
            </w:r>
          </w:p>
        </w:tc>
        <w:tc>
          <w:tcPr>
            <w:tcW w:type="dxa" w:w="7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35,9</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c>
          <w:tcPr>
            <w:tcW w:type="dxa" w:w="84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0,017</w:t>
            </w:r>
          </w:p>
        </w:tc>
        <w:tc>
          <w:tcPr>
            <w:tcW w:type="dxa" w:w="9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100</w:t>
            </w:r>
          </w:p>
        </w:tc>
      </w:tr>
      <w:tr>
        <w:tc>
          <w:tcPr>
            <w:tcW w:type="dxa" w:w="115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B0 mua-giữ</w:t>
            </w:r>
          </w:p>
        </w:tc>
        <w:tc>
          <w:tcPr>
            <w:tcW w:type="dxa" w:w="9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27.944</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24,90</w:t>
            </w:r>
          </w:p>
        </w:tc>
        <w:tc>
          <w:tcPr>
            <w:tcW w:type="dxa" w:w="82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1,142</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29,23</w:t>
            </w:r>
          </w:p>
        </w:tc>
        <w:tc>
          <w:tcPr>
            <w:tcW w:type="dxa" w:w="78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4/6</w:t>
            </w:r>
          </w:p>
        </w:tc>
        <w:tc>
          <w:tcPr>
            <w:tcW w:type="dxa" w:w="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w:t>
            </w:r>
          </w:p>
        </w:tc>
        <w:tc>
          <w:tcPr>
            <w:tcW w:type="dxa" w:w="7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c>
          <w:tcPr>
            <w:tcW w:type="dxa" w:w="84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c>
          <w:tcPr>
            <w:tcW w:type="dxa" w:w="9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w:t>
            </w:r>
          </w:p>
        </w:tc>
      </w:tr>
    </w:tbl>
    <w:p>
      <w:pPr>
        <w:spacing w:after="180" w:before="70"/>
        <w:jc w:val="center"/>
      </w:pPr>
      <w:r>
        <w:rPr>
          <w:rFonts w:ascii="Times New Roman" w:cs="Times New Roman" w:eastAsia="Times New Roman" w:hAnsi="Times New Roman"/>
          <w:i/>
          <w:iCs/>
          <w:color w:val="555555"/>
          <w:sz w:val="19"/>
          <w:szCs w:val="19"/>
        </w:rPr>
        <w:t>Bảng 8.1 — 15 kịch bản có Sharpe cao nhất và mốc mua-và-giữ, 2020 – 2025</w:t>
      </w:r>
    </w:p>
    <w:p>
      <w:pPr>
        <w:spacing w:after="140" w:line="300"/>
        <w:jc w:val="both"/>
      </w:pPr>
      <w:r>
        <w:rPr>
          <w:rFonts w:ascii="Times New Roman" w:cs="Times New Roman" w:eastAsia="Times New Roman" w:hAnsi="Times New Roman"/>
          <w:sz w:val="22"/>
          <w:szCs w:val="22"/>
        </w:rPr>
        <w:t xml:space="preserve">Ba quan sát nổi bật. Thứ nhất, </w:t>
      </w:r>
      <w:r>
        <w:rPr>
          <w:rFonts w:ascii="Times New Roman" w:cs="Times New Roman" w:eastAsia="Times New Roman" w:hAnsi="Times New Roman"/>
          <w:b/>
          <w:bCs/>
          <w:sz w:val="22"/>
          <w:szCs w:val="22"/>
        </w:rPr>
        <w:t>S03-XGB</w:t>
      </w:r>
      <w:r>
        <w:rPr>
          <w:rFonts w:ascii="Times New Roman" w:cs="Times New Roman" w:eastAsia="Times New Roman" w:hAnsi="Times New Roman"/>
          <w:sz w:val="22"/>
          <w:szCs w:val="22"/>
        </w:rPr>
        <w:t xml:space="preserve"> dẫn đầu về Sharpe (0,995) với mức sụt giảm tối đa chỉ 2,56% và có lãi cả sáu năm; tỉ lệ thắng 31,1% cao hơn mức hòa vốn 25% của R:R 1:3. Thứ hai, </w:t>
      </w:r>
      <w:r>
        <w:rPr>
          <w:rFonts w:ascii="Times New Roman" w:cs="Times New Roman" w:eastAsia="Times New Roman" w:hAnsi="Times New Roman"/>
          <w:b/>
          <w:bCs/>
          <w:sz w:val="22"/>
          <w:szCs w:val="22"/>
        </w:rPr>
        <w:t>S06-TH</w:t>
      </w:r>
      <w:r>
        <w:rPr>
          <w:rFonts w:ascii="Times New Roman" w:cs="Times New Roman" w:eastAsia="Times New Roman" w:hAnsi="Times New Roman"/>
          <w:sz w:val="22"/>
          <w:szCs w:val="22"/>
        </w:rPr>
        <w:t xml:space="preserve"> (luật tổng hợp, chờ ba nến xác nhận) đứng thứ hai với tỉ lệ thắng 47,2% so với mức hòa vốn 33,3% và kỳ vọng 0,412 R mỗi lệnh — cao nhất trong toàn bộ bảng. Thứ ba, các kịch bản trên </w:t>
      </w:r>
      <w:r>
        <w:rPr>
          <w:rFonts w:ascii="Times New Roman" w:cs="Times New Roman" w:eastAsia="Times New Roman" w:hAnsi="Times New Roman"/>
          <w:b/>
          <w:bCs/>
          <w:sz w:val="22"/>
          <w:szCs w:val="22"/>
        </w:rPr>
        <w:t>MA</w:t>
      </w:r>
      <w:r>
        <w:rPr>
          <w:rFonts w:ascii="Times New Roman" w:cs="Times New Roman" w:eastAsia="Times New Roman" w:hAnsi="Times New Roman"/>
          <w:sz w:val="22"/>
          <w:szCs w:val="22"/>
        </w:rPr>
        <w:t xml:space="preserve"> có lợi nhuận tuyệt đối lớn nhất (Net tới 4.597 USD) nhưng kỳ vọng mỗi lệnh chỉ khoảng 0,03 – 0,05 R: lợi nhuận đến từ số lượng lệnh rất lớn (khoảng 700 – 1.300 lệnh) chứ không từ chất lượng từng lệnh.</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SO VỚI MUA VÀ GIỮ</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Mua-và-giữ đạt CAGR 24,90% và Sharpe 1,142 — cao hơn mọi kịch bản — nhưng chịu Max Drawdown 29,23% và lỗ hai năm liền 2021 – 2022. Cần lưu ý hai điều khi so sánh: mua-và-giữ dùng lot cố định 0,10, tức 10 oz vàng có giá trị danh nghĩa 14.555 – 45.462 USD — gấp 1,5 – 4,5 lần tài khoản 10.000 USD — trong khi các chiến lược chỉ rủi ro 1 % số dư mỗi lệnh; và 2020 – 2025 là giai đoạn giá vàng tăng 2,8 lần (từ 1.518 lên 4.313 USD/oz) — thuận lợi nhất có thể cho chiến lược chỉ nắm giữ.</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Kết luận trung thực: trên giai đoạn này, không chiến lược chủ động nào — kỹ thuật hay học máy — vượt được việc nắm giữ vàng về lợi nhuận. Giá trị của chúng, nếu có, nằm ở mức sụt giảm thấp hơn nhiều.</w:t>
      </w:r>
    </w:p>
    <w:p>
      <w:pPr>
        <w:spacing w:after="60"/>
      </w:pPr>
    </w:p>
    <w:p>
      <w:pPr>
        <w:pStyle w:val="Heading2"/>
        <w:spacing w:after="140" w:before="260"/>
      </w:pPr>
      <w:r>
        <w:rPr>
          <w:rFonts w:ascii="Times New Roman" w:cs="Times New Roman" w:eastAsia="Times New Roman" w:hAnsi="Times New Roman"/>
          <w:b/>
          <w:bCs/>
          <w:color w:val="2E5496"/>
          <w:sz w:val="25"/>
          <w:szCs w:val="25"/>
        </w:rPr>
        <w:t>8.2. Bản đồ Sharpe: chiến lược × nguồn dự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1200"/>
        <w:gridCol w:w="1200"/>
        <w:gridCol w:w="1200"/>
        <w:gridCol w:w="1200"/>
        <w:gridCol w:w="1200"/>
      </w:tblGrid>
      <w:tr>
        <w:trPr>
          <w:tblHeader/>
        </w:trPr>
        <w:tc>
          <w:tcPr>
            <w:tcW w:type="dxa" w:w="33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Chiến lược</w:t>
            </w:r>
          </w:p>
        </w:tc>
        <w:tc>
          <w:tcPr>
            <w:tcW w:type="dxa" w:w="12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MA</w:t>
            </w:r>
          </w:p>
        </w:tc>
        <w:tc>
          <w:tcPr>
            <w:tcW w:type="dxa" w:w="12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RSI</w:t>
            </w:r>
          </w:p>
        </w:tc>
        <w:tc>
          <w:tcPr>
            <w:tcW w:type="dxa" w:w="12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MACD</w:t>
            </w:r>
          </w:p>
        </w:tc>
        <w:tc>
          <w:tcPr>
            <w:tcW w:type="dxa" w:w="12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TH</w:t>
            </w:r>
          </w:p>
        </w:tc>
        <w:tc>
          <w:tcPr>
            <w:tcW w:type="dxa" w:w="12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XGB</w:t>
            </w:r>
          </w:p>
        </w:tc>
      </w:tr>
      <w:tr>
        <w:tc>
          <w:tcPr>
            <w:tcW w:type="dxa" w:w="3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S03 Position theo trend</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0,08</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0,06</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0,03</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-0,22</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0,99</w:t>
            </w:r>
          </w:p>
        </w:tc>
      </w:tr>
      <w:tr>
        <w:tc>
          <w:tcPr>
            <w:tcW w:type="dxa" w:w="3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S06 Trend xác nhận 3 nến</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0,62</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-1,01</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0,91</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0,62</w:t>
            </w:r>
          </w:p>
        </w:tc>
      </w:tr>
      <w:tr>
        <w:tc>
          <w:tcPr>
            <w:tcW w:type="dxa" w:w="3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S07 Bắt đầu xu hướng</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0,51</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-0,04</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-0,32</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-0,46</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0,20</w:t>
            </w:r>
          </w:p>
        </w:tc>
      </w:tr>
      <w:tr>
        <w:tc>
          <w:tcPr>
            <w:tcW w:type="dxa" w:w="3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S08 Vào lệnh khi giá hồi (MA20)</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0,71</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-0,69</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-0,53</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-0,47</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0,27</w:t>
            </w:r>
          </w:p>
        </w:tc>
      </w:tr>
      <w:tr>
        <w:tc>
          <w:tcPr>
            <w:tcW w:type="dxa" w:w="3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S09 Trend + đánh vùng sideway</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0,59</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-1,15</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-0,94</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-1,46</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-1,17</w:t>
            </w:r>
          </w:p>
        </w:tc>
      </w:tr>
      <w:tr>
        <w:tc>
          <w:tcPr>
            <w:tcW w:type="dxa" w:w="3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S12 Đánh ngược dự báo</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-0,77</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0,52</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0,47</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-0,02</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-0,40</w:t>
            </w:r>
          </w:p>
        </w:tc>
      </w:tr>
      <w:tr>
        <w:tc>
          <w:tcPr>
            <w:tcW w:type="dxa" w:w="3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S13 Luôn theo trend, đảo chiều</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0,84</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-0,90</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-0,15</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-0,14</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0,38</w:t>
            </w:r>
          </w:p>
        </w:tc>
      </w:tr>
      <w:tr>
        <w:tc>
          <w:tcPr>
            <w:tcW w:type="dxa" w:w="33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S14 Trend + dời SL về hòa vốn</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0,57</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-0,34</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0,36</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0,09</w:t>
            </w:r>
          </w:p>
        </w:tc>
        <w:tc>
          <w:tcPr>
            <w:tcW w:type="dxa" w:w="12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0,44</w:t>
            </w:r>
          </w:p>
        </w:tc>
      </w:tr>
      <w:tr>
        <w:tc>
          <w:tcPr>
            <w:tcW w:type="dxa" w:w="33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S15 Trend + SL kéo theo giá</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0,33</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-0,39</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0,22</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0,23</w:t>
            </w:r>
          </w:p>
        </w:tc>
        <w:tc>
          <w:tcPr>
            <w:tcW w:type="dxa" w:w="12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-0,05</w:t>
            </w:r>
          </w:p>
        </w:tc>
      </w:tr>
    </w:tbl>
    <w:p>
      <w:pPr>
        <w:spacing w:after="180" w:before="70"/>
        <w:jc w:val="center"/>
      </w:pPr>
      <w:r>
        <w:rPr>
          <w:rFonts w:ascii="Times New Roman" w:cs="Times New Roman" w:eastAsia="Times New Roman" w:hAnsi="Times New Roman"/>
          <w:i/>
          <w:iCs/>
          <w:color w:val="555555"/>
          <w:sz w:val="19"/>
          <w:szCs w:val="19"/>
        </w:rPr>
        <w:t>Bảng 8.2 — Sharpe toàn giai đoạn 2020 – 2025 của 45 kịch bản (— : không có lệnh nào)</w:t>
      </w:r>
    </w:p>
    <w:p>
      <w:pPr>
        <w:jc w:val="center"/>
        <w:spacing w:after="0" w:before="100"/>
      </w:pPr>
      <w:r>
        <w:drawing>
          <wp:inline xmlns:a="http://schemas.openxmlformats.org/drawingml/2006/main" xmlns:pic="http://schemas.openxmlformats.org/drawingml/2006/picture">
            <wp:extent cx="5220000" cy="3159474"/>
            <wp:docPr id="3" name="Picture 3"/>
            <wp:cNvGraphicFramePr>
              <a:graphicFrameLocks noChangeAspect="1"/>
            </wp:cNvGraphicFramePr>
            <a:graphic>
              <a:graphicData uri="http://schemas.openxmlformats.org/drawingml/2006/picture">
                <pic:pic>
                  <pic:nvPicPr>
                    <pic:cNvPr id="0" name="h_sharpe.png"/>
                    <pic:cNvPicPr/>
                  </pic:nvPicPr>
                  <pic:blipFill>
                    <a:blip r:embed="rId12"/>
                    <a:stretch>
                      <a:fillRect/>
                    </a:stretch>
                  </pic:blipFill>
                  <pic:spPr>
                    <a:xfrm>
                      <a:off x="0" y="0"/>
                      <a:ext cx="5220000" cy="3159474"/>
                    </a:xfrm>
                    <a:prstGeom prst="rect"/>
                  </pic:spPr>
                </pic:pic>
              </a:graphicData>
            </a:graphic>
          </wp:inline>
        </w:drawing>
      </w:r>
    </w:p>
    <w:p>
      <w:pPr>
        <w:spacing w:after="180" w:before="70"/>
        <w:jc w:val="center"/>
      </w:pPr>
      <w:r>
        <w:rPr>
          <w:rFonts w:ascii="Times New Roman" w:cs="Times New Roman" w:eastAsia="Times New Roman" w:hAnsi="Times New Roman"/>
          <w:i/>
          <w:iCs/>
          <w:color w:val="555555"/>
          <w:sz w:val="19"/>
          <w:szCs w:val="19"/>
        </w:rPr>
        <w:t>Hình 8.1 — Bản đồ nhiệt Sharpe: bốn luật kỹ thuật (trái) và XGBoost (phải)</w:t>
      </w:r>
    </w:p>
    <w:p>
      <w:pPr>
        <w:pStyle w:val="ListParagraph"/>
        <w:numPr>
          <w:ilvl w:val="0"/>
          <w:numId w:val="26"/>
        </w:numPr>
        <w:spacing w:after="90" w:line="290"/>
        <w:jc w:val="both"/>
      </w:pPr>
      <w:r>
        <w:rPr>
          <w:rFonts w:ascii="Times New Roman" w:cs="Times New Roman" w:eastAsia="Times New Roman" w:hAnsi="Times New Roman"/>
          <w:b/>
          <w:bCs/>
          <w:sz w:val="22"/>
          <w:szCs w:val="22"/>
        </w:rPr>
        <w:t>S03 (Position):</w:t>
      </w:r>
      <w:r>
        <w:rPr>
          <w:rFonts w:ascii="Times New Roman" w:cs="Times New Roman" w:eastAsia="Times New Roman" w:hAnsi="Times New Roman"/>
          <w:sz w:val="22"/>
          <w:szCs w:val="22"/>
        </w:rPr>
        <w:t xml:space="preserve"> XGBoost vượt trội (0,99) trong khi cả bốn luật kỹ thuật quanh 0. Với SL 3 % và R:R 1:3, chỉ nguồn dự báo có tỉ lệ đúng hướng cao mới vượt được mức hòa vốn 25 %.</w:t>
      </w:r>
    </w:p>
    <w:p>
      <w:pPr>
        <w:pStyle w:val="ListParagraph"/>
        <w:numPr>
          <w:ilvl w:val="0"/>
          <w:numId w:val="26"/>
        </w:numPr>
        <w:spacing w:after="90" w:line="290"/>
        <w:jc w:val="both"/>
      </w:pPr>
      <w:r>
        <w:rPr>
          <w:rFonts w:ascii="Times New Roman" w:cs="Times New Roman" w:eastAsia="Times New Roman" w:hAnsi="Times New Roman"/>
          <w:b/>
          <w:bCs/>
          <w:sz w:val="22"/>
          <w:szCs w:val="22"/>
        </w:rPr>
        <w:t>S06 (xác nhận 3 nến):</w:t>
      </w:r>
      <w:r>
        <w:rPr>
          <w:rFonts w:ascii="Times New Roman" w:cs="Times New Roman" w:eastAsia="Times New Roman" w:hAnsi="Times New Roman"/>
          <w:sz w:val="22"/>
          <w:szCs w:val="22"/>
        </w:rPr>
        <w:t xml:space="preserve"> tốt nhất ở TH (0,91); MACD không có lệnh nào vì luật MACD chỉ báo xu hướng đúng tại nến giao cắt, không bao giờ có 3 nến liền cùng dự báo.</w:t>
      </w:r>
    </w:p>
    <w:p>
      <w:pPr>
        <w:pStyle w:val="ListParagraph"/>
        <w:numPr>
          <w:ilvl w:val="0"/>
          <w:numId w:val="26"/>
        </w:numPr>
        <w:spacing w:after="90" w:line="290"/>
        <w:jc w:val="both"/>
      </w:pPr>
      <w:r>
        <w:rPr>
          <w:rFonts w:ascii="Times New Roman" w:cs="Times New Roman" w:eastAsia="Times New Roman" w:hAnsi="Times New Roman"/>
          <w:b/>
          <w:bCs/>
          <w:sz w:val="22"/>
          <w:szCs w:val="22"/>
        </w:rPr>
        <w:t>S08, S13, S14:</w:t>
      </w:r>
      <w:r>
        <w:rPr>
          <w:rFonts w:ascii="Times New Roman" w:cs="Times New Roman" w:eastAsia="Times New Roman" w:hAnsi="Times New Roman"/>
          <w:sz w:val="22"/>
          <w:szCs w:val="22"/>
        </w:rPr>
        <w:t xml:space="preserve"> MA dẫn đầu nhờ luôn có mặt trên thị trường trong một giai đoạn tăng giá; XGBoost đứng thứ hai hoặc thứ ba.</w:t>
      </w:r>
    </w:p>
    <w:p>
      <w:pPr>
        <w:pStyle w:val="ListParagraph"/>
        <w:numPr>
          <w:ilvl w:val="0"/>
          <w:numId w:val="26"/>
        </w:numPr>
        <w:spacing w:after="90" w:line="290"/>
        <w:jc w:val="both"/>
      </w:pPr>
      <w:r>
        <w:rPr>
          <w:rFonts w:ascii="Times New Roman" w:cs="Times New Roman" w:eastAsia="Times New Roman" w:hAnsi="Times New Roman"/>
          <w:b/>
          <w:bCs/>
          <w:sz w:val="22"/>
          <w:szCs w:val="22"/>
        </w:rPr>
        <w:t>S09 (đánh vùng sideway):</w:t>
      </w:r>
      <w:r>
        <w:rPr>
          <w:rFonts w:ascii="Times New Roman" w:cs="Times New Roman" w:eastAsia="Times New Roman" w:hAnsi="Times New Roman"/>
          <w:sz w:val="22"/>
          <w:szCs w:val="22"/>
        </w:rPr>
        <w:t xml:space="preserve"> âm với mọi nguồn có dự báo sideway, tệ nhất ở TH (-1,46) và XGBoost (-1,17). Riêng S09-MA dương vì MA không bao giờ báo sideway, nên S09-MA thực chất là một chiến lược theo trend.</w:t>
      </w:r>
    </w:p>
    <w:p>
      <w:pPr>
        <w:pStyle w:val="ListParagraph"/>
        <w:numPr>
          <w:ilvl w:val="0"/>
          <w:numId w:val="26"/>
        </w:numPr>
        <w:spacing w:after="90" w:line="290"/>
        <w:jc w:val="both"/>
      </w:pPr>
      <w:r>
        <w:rPr>
          <w:rFonts w:ascii="Times New Roman" w:cs="Times New Roman" w:eastAsia="Times New Roman" w:hAnsi="Times New Roman"/>
          <w:b/>
          <w:bCs/>
          <w:sz w:val="22"/>
          <w:szCs w:val="22"/>
        </w:rPr>
        <w:t>S12 (đánh ngược):</w:t>
      </w:r>
      <w:r>
        <w:rPr>
          <w:rFonts w:ascii="Times New Roman" w:cs="Times New Roman" w:eastAsia="Times New Roman" w:hAnsi="Times New Roman"/>
          <w:sz w:val="22"/>
          <w:szCs w:val="22"/>
        </w:rPr>
        <w:t xml:space="preserve"> âm ở XGBoost và MA, dương ở RSI và MACD — phân tích riêng tại mục 8.6.</w:t>
      </w:r>
    </w:p>
    <w:p>
      <w:pPr>
        <w:pStyle w:val="Heading2"/>
        <w:spacing w:after="140" w:before="260"/>
      </w:pPr>
      <w:r>
        <w:rPr>
          <w:rFonts w:ascii="Times New Roman" w:cs="Times New Roman" w:eastAsia="Times New Roman" w:hAnsi="Times New Roman"/>
          <w:b/>
          <w:bCs/>
          <w:color w:val="2E5496"/>
          <w:sz w:val="25"/>
          <w:szCs w:val="25"/>
        </w:rPr>
        <w:t>8.3. Kết quả theo từng năm</w:t>
      </w:r>
    </w:p>
    <w:p>
      <w:pPr>
        <w:spacing w:after="140" w:line="300"/>
        <w:jc w:val="both"/>
      </w:pPr>
      <w:r>
        <w:rPr>
          <w:rFonts w:ascii="Times New Roman" w:cs="Times New Roman" w:eastAsia="Times New Roman" w:hAnsi="Times New Roman"/>
          <w:sz w:val="22"/>
          <w:szCs w:val="22"/>
        </w:rPr>
        <w:t>Bảng dưới trình bày lợi nhuận từng năm của ba chiến lược tiêu biểu trên cả năm nguồn. Toàn bộ 45 kịch bản × 6 năm có trong tệp ket_qua_theo_nam.csv.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1100"/>
        <w:gridCol w:w="1100"/>
        <w:gridCol w:w="1100"/>
        <w:gridCol w:w="1100"/>
        <w:gridCol w:w="1100"/>
        <w:gridCol w:w="1260"/>
      </w:tblGrid>
      <w:tr>
        <w:trPr>
          <w:tblHeader/>
        </w:trPr>
        <w:tc>
          <w:tcPr>
            <w:tcW w:type="dxa" w:w="1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8"/>
                <w:szCs w:val="18"/>
              </w:rPr>
              <w:t>Kịch bản</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2020</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2021</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2022</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2023</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2024</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2025</w:t>
            </w:r>
          </w:p>
        </w:tc>
        <w:tc>
          <w:tcPr>
            <w:tcW w:type="dxa" w:w="12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8"/>
                <w:szCs w:val="18"/>
              </w:rPr>
              <w:t>Năm lãi</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S03-MA</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+0,9</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+0,3</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-0,2</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-1,2</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+1,4</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S03-RSI</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-1,7</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+1,3</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-0,9</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+0,1</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-0,7</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S03-MACD</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+0,5</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+0,6</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+0,6</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+0,1</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S03-TH</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+0,9</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-2,7</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-3,1</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S03-XGB</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+4,5</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+3,4</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+1,5</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+0,8</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+2,3</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+4,0</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S06-MA</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+8,8</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+8,1</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-5,7</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+8,2</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+10,2</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S06-RSI</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-21,8</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-2,9</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-4,9</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-9,2</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-17,9</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S06-MACD</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+0,0</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S06-TH</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+2,5</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+2,3</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+4,7</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+3,7</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+0,5</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+5,4</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S06-XGB</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+5,5</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+4,5</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-0,7</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+6,2</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-7,0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+11,8</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S13-MA</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+13,7</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+1,5</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-2,6</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+2,1</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+9,0</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+10,4</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S13-RSI</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-16,5</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+2,3</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+0,3</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-3,5</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-9,9</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S13-MACD</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-6,7</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-2,6</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+1,4</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-1,0</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+2,7</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S13-TH</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-0,3</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-0,9</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+2,2</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+1,6</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 / 6</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S13-XGB</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-6,0</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-3,3</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+4,2</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+2,2</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+6,6</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+8,9</w:t>
            </w:r>
          </w:p>
        </w:tc>
        <w:tc>
          <w:tcPr>
            <w:tcW w:type="dxa" w:w="12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 / 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8"/>
                <w:szCs w:val="18"/>
              </w:rPr>
              <w:t>B0 mua-giữ</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+37,9</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-5,0</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-0,4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+18,3</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+36,4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+80,2</w:t>
            </w:r>
          </w:p>
        </w:tc>
        <w:tc>
          <w:tcPr>
            <w:tcW w:type="dxa" w:w="12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8"/>
                <w:szCs w:val="18"/>
              </w:rPr>
              <w:t>4 / 6</w:t>
            </w:r>
          </w:p>
        </w:tc>
      </w:tr>
    </w:tbl>
    <w:p>
      <w:pPr>
        <w:spacing w:after="180" w:before="70"/>
        <w:jc w:val="center"/>
      </w:pPr>
      <w:r>
        <w:rPr>
          <w:rFonts w:ascii="Times New Roman" w:cs="Times New Roman" w:eastAsia="Times New Roman" w:hAnsi="Times New Roman"/>
          <w:i/>
          <w:iCs/>
          <w:color w:val="555555"/>
          <w:sz w:val="19"/>
          <w:szCs w:val="19"/>
        </w:rPr>
        <w:t>Bảng 8.3 — Lợi nhuận từng năm (%) của S03, S06, S13 trên năm nguồn dự báo</w:t>
      </w:r>
    </w:p>
    <w:p>
      <w:pPr>
        <w:jc w:val="center"/>
        <w:spacing w:after="0" w:before="100"/>
      </w:pPr>
      <w:r>
        <w:drawing>
          <wp:inline xmlns:a="http://schemas.openxmlformats.org/drawingml/2006/main" xmlns:pic="http://schemas.openxmlformats.org/drawingml/2006/picture">
            <wp:extent cx="5940000" cy="2019600"/>
            <wp:docPr id="4" name="Picture 4"/>
            <wp:cNvGraphicFramePr>
              <a:graphicFrameLocks noChangeAspect="1"/>
            </wp:cNvGraphicFramePr>
            <a:graphic>
              <a:graphicData uri="http://schemas.openxmlformats.org/drawingml/2006/picture">
                <pic:pic>
                  <pic:nvPicPr>
                    <pic:cNvPr id="0" name="h_theo_nam.png"/>
                    <pic:cNvPicPr/>
                  </pic:nvPicPr>
                  <pic:blipFill>
                    <a:blip r:embed="rId13"/>
                    <a:stretch>
                      <a:fillRect/>
                    </a:stretch>
                  </pic:blipFill>
                  <pic:spPr>
                    <a:xfrm>
                      <a:off x="0" y="0"/>
                      <a:ext cx="5940000" cy="2019600"/>
                    </a:xfrm>
                    <a:prstGeom prst="rect"/>
                  </pic:spPr>
                </pic:pic>
              </a:graphicData>
            </a:graphic>
          </wp:inline>
        </w:drawing>
      </w:r>
    </w:p>
    <w:p>
      <w:pPr>
        <w:spacing w:after="180" w:before="70"/>
        <w:jc w:val="center"/>
      </w:pPr>
      <w:r>
        <w:rPr>
          <w:rFonts w:ascii="Times New Roman" w:cs="Times New Roman" w:eastAsia="Times New Roman" w:hAnsi="Times New Roman"/>
          <w:i/>
          <w:iCs/>
          <w:color w:val="555555"/>
          <w:sz w:val="19"/>
          <w:szCs w:val="19"/>
        </w:rPr>
        <w:t>Hình 8.2 — Lợi nhuận từng năm của S03 và S06 theo nguồn dự báo</w:t>
      </w:r>
    </w:p>
    <w:p>
      <w:pPr>
        <w:spacing w:after="140" w:line="300"/>
        <w:jc w:val="both"/>
      </w:pPr>
      <w:r>
        <w:rPr>
          <w:rFonts w:ascii="Times New Roman" w:cs="Times New Roman" w:eastAsia="Times New Roman" w:hAnsi="Times New Roman"/>
          <w:sz w:val="22"/>
          <w:szCs w:val="22"/>
        </w:rPr>
        <w:t>S03-XGB là kịch bản duy nhất trong bảng có lãi đều cả sáu năm (từ 0,8% tới 4,5%/năm), kể cả hai năm 2021 – 2022 khi mua-và-giữ thua lỗ. S06-TH cũng có lãi sáu năm với biên độ nhỏ. Ngược lại, lợi nhuận của MA tập trung ở các năm giá tăng mạnh (2020, 2024, 2025) và âm ở năm 2022. Đây là bằng chứng cho giả thuyết H4: tính ổn định là điểm mạnh của XGBoost, không phải lợi nhuận tuyệt đối.</w:t>
      </w:r>
    </w:p>
    <w:p>
      <w:pPr>
        <w:jc w:val="center"/>
        <w:spacing w:after="0" w:before="100"/>
      </w:pPr>
      <w:r>
        <w:drawing>
          <wp:inline xmlns:a="http://schemas.openxmlformats.org/drawingml/2006/main" xmlns:pic="http://schemas.openxmlformats.org/drawingml/2006/picture">
            <wp:extent cx="5940000" cy="2079000"/>
            <wp:docPr id="5" name="Picture 5"/>
            <wp:cNvGraphicFramePr>
              <a:graphicFrameLocks noChangeAspect="1"/>
            </wp:cNvGraphicFramePr>
            <a:graphic>
              <a:graphicData uri="http://schemas.openxmlformats.org/drawingml/2006/picture">
                <pic:pic>
                  <pic:nvPicPr>
                    <pic:cNvPr id="0" name="h_equity.png"/>
                    <pic:cNvPicPr/>
                  </pic:nvPicPr>
                  <pic:blipFill>
                    <a:blip r:embed="rId14"/>
                    <a:stretch>
                      <a:fillRect/>
                    </a:stretch>
                  </pic:blipFill>
                  <pic:spPr>
                    <a:xfrm>
                      <a:off x="0" y="0"/>
                      <a:ext cx="5940000" cy="2079000"/>
                    </a:xfrm>
                    <a:prstGeom prst="rect"/>
                  </pic:spPr>
                </pic:pic>
              </a:graphicData>
            </a:graphic>
          </wp:inline>
        </w:drawing>
      </w:r>
    </w:p>
    <w:p>
      <w:pPr>
        <w:spacing w:after="180" w:before="70"/>
        <w:jc w:val="center"/>
      </w:pPr>
      <w:r>
        <w:rPr>
          <w:rFonts w:ascii="Times New Roman" w:cs="Times New Roman" w:eastAsia="Times New Roman" w:hAnsi="Times New Roman"/>
          <w:i/>
          <w:iCs/>
          <w:color w:val="555555"/>
          <w:sz w:val="19"/>
          <w:szCs w:val="19"/>
        </w:rPr>
        <w:t>Hình 8.3 — Đường equity của S03 và S06 trên năm nguồn dự báo (XGBoost: nét đậm)</w:t>
      </w:r>
    </w:p>
    <w:p>
      <w:pPr>
        <w:pStyle w:val="Heading2"/>
        <w:spacing w:after="140" w:before="260"/>
      </w:pPr>
      <w:r>
        <w:rPr>
          <w:rFonts w:ascii="Times New Roman" w:cs="Times New Roman" w:eastAsia="Times New Roman" w:hAnsi="Times New Roman"/>
          <w:b/>
          <w:bCs/>
          <w:color w:val="2E5496"/>
          <w:sz w:val="25"/>
          <w:szCs w:val="25"/>
        </w:rPr>
        <w:t>8.4. Đối chứng với dự báo ngẫu nhiên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000"/>
        <w:gridCol w:w="2560"/>
      </w:tblGrid>
      <w:tr>
        <w:trPr>
          <w:tblHeader/>
        </w:trPr>
        <w:tc>
          <w:tcPr>
            <w:tcW w:type="dxa" w:w="18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Nguồn</w:t>
            </w:r>
          </w:p>
        </w:tc>
        <w:tc>
          <w:tcPr>
            <w:tcW w:type="dxa" w:w="50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Số chiến lược thắng ngẫu nhiên (phân vị ≥ 95 %)</w:t>
            </w:r>
          </w:p>
        </w:tc>
        <w:tc>
          <w:tcPr>
            <w:tcW w:type="dxa" w:w="25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Tỉ lệ</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w:t>
            </w:r>
          </w:p>
        </w:tc>
        <w:tc>
          <w:tcPr>
            <w:tcW w:type="dxa" w:w="5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7 / 9</w:t>
            </w:r>
          </w:p>
        </w:tc>
        <w:tc>
          <w:tcPr>
            <w:tcW w:type="dxa" w:w="25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78%</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RSI</w:t>
            </w:r>
          </w:p>
        </w:tc>
        <w:tc>
          <w:tcPr>
            <w:tcW w:type="dxa" w:w="5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 / 9</w:t>
            </w:r>
          </w:p>
        </w:tc>
        <w:tc>
          <w:tcPr>
            <w:tcW w:type="dxa" w:w="25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11%</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MACD</w:t>
            </w:r>
          </w:p>
        </w:tc>
        <w:tc>
          <w:tcPr>
            <w:tcW w:type="dxa" w:w="5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0 / 9</w:t>
            </w:r>
          </w:p>
        </w:tc>
        <w:tc>
          <w:tcPr>
            <w:tcW w:type="dxa" w:w="25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w:t>
            </w:r>
          </w:p>
        </w:tc>
      </w:tr>
      <w:tr>
        <w:tc>
          <w:tcPr>
            <w:tcW w:type="dxa" w:w="18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w:t>
            </w:r>
          </w:p>
        </w:tc>
        <w:tc>
          <w:tcPr>
            <w:tcW w:type="dxa" w:w="50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1 / 9</w:t>
            </w:r>
          </w:p>
        </w:tc>
        <w:tc>
          <w:tcPr>
            <w:tcW w:type="dxa" w:w="25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11%</w:t>
            </w:r>
          </w:p>
        </w:tc>
      </w:tr>
      <w:tr>
        <w:tc>
          <w:tcPr>
            <w:tcW w:type="dxa" w:w="18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XGB</w:t>
            </w:r>
          </w:p>
        </w:tc>
        <w:tc>
          <w:tcPr>
            <w:tcW w:type="dxa" w:w="50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4 / 9</w:t>
            </w:r>
          </w:p>
        </w:tc>
        <w:tc>
          <w:tcPr>
            <w:tcW w:type="dxa" w:w="25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44%</w:t>
            </w:r>
          </w:p>
        </w:tc>
      </w:tr>
    </w:tbl>
    <w:p>
      <w:pPr>
        <w:spacing w:after="180" w:before="70"/>
        <w:jc w:val="center"/>
      </w:pPr>
      <w:r>
        <w:rPr>
          <w:rFonts w:ascii="Times New Roman" w:cs="Times New Roman" w:eastAsia="Times New Roman" w:hAnsi="Times New Roman"/>
          <w:i/>
          <w:iCs/>
          <w:color w:val="555555"/>
          <w:sz w:val="19"/>
          <w:szCs w:val="19"/>
        </w:rPr>
        <w:t>Bảng 8.4 — Số chiến lược mà kịch bản thật vượt 95 % số lần dự báo ngẫu nhiên</w:t>
      </w:r>
    </w:p>
    <w:p>
      <w:pPr>
        <w:jc w:val="center"/>
        <w:spacing w:after="0" w:before="100"/>
      </w:pPr>
      <w:r>
        <w:drawing>
          <wp:inline xmlns:a="http://schemas.openxmlformats.org/drawingml/2006/main" xmlns:pic="http://schemas.openxmlformats.org/drawingml/2006/picture">
            <wp:extent cx="5940000" cy="1900800"/>
            <wp:docPr id="6" name="Picture 6"/>
            <wp:cNvGraphicFramePr>
              <a:graphicFrameLocks noChangeAspect="1"/>
            </wp:cNvGraphicFramePr>
            <a:graphic>
              <a:graphicData uri="http://schemas.openxmlformats.org/drawingml/2006/picture">
                <pic:pic>
                  <pic:nvPicPr>
                    <pic:cNvPr id="0" name="h_ngau_nhien.png"/>
                    <pic:cNvPicPr/>
                  </pic:nvPicPr>
                  <pic:blipFill>
                    <a:blip r:embed="rId15"/>
                    <a:stretch>
                      <a:fillRect/>
                    </a:stretch>
                  </pic:blipFill>
                  <pic:spPr>
                    <a:xfrm>
                      <a:off x="0" y="0"/>
                      <a:ext cx="5940000" cy="1900800"/>
                    </a:xfrm>
                    <a:prstGeom prst="rect"/>
                  </pic:spPr>
                </pic:pic>
              </a:graphicData>
            </a:graphic>
          </wp:inline>
        </w:drawing>
      </w:r>
    </w:p>
    <w:p>
      <w:pPr>
        <w:spacing w:after="180" w:before="70"/>
        <w:jc w:val="center"/>
      </w:pPr>
      <w:r>
        <w:rPr>
          <w:rFonts w:ascii="Times New Roman" w:cs="Times New Roman" w:eastAsia="Times New Roman" w:hAnsi="Times New Roman"/>
          <w:i/>
          <w:iCs/>
          <w:color w:val="555555"/>
          <w:sz w:val="19"/>
          <w:szCs w:val="19"/>
        </w:rPr>
        <w:t>Hình 8.4 — Phân phối Sharpe khi xáo trộn dự báo (200 lần) và vị trí kịch bản thật</w:t>
      </w:r>
    </w:p>
    <w:p>
      <w:pPr>
        <w:spacing w:after="140" w:line="300"/>
        <w:jc w:val="both"/>
      </w:pPr>
      <w:r>
        <w:rPr>
          <w:rFonts w:ascii="Times New Roman" w:cs="Times New Roman" w:eastAsia="Times New Roman" w:hAnsi="Times New Roman"/>
          <w:sz w:val="22"/>
          <w:szCs w:val="22"/>
        </w:rPr>
        <w:t>MA và XGBoost là hai nguồn có nhiều chiến lược vượt ngẫu nhiên nhất; RSI và MACD gần như không. Cần đọc kết quả MA thận trọng: một luật luôn có mặt trên thị trường trong giai đoạn tăng giá sẽ thắng một chuỗi xáo trộn làm mất tính liên tục của xu hướng. Ở hai kịch bản tiêu biểu, S03-XGB đứng ở phân vị 99,0% và S06-TH ở phân vị 99,5% của 200 lần xáo trộn — cả hai nằm hẳn ở đuôi phải phân phối.</w:t>
      </w:r>
    </w:p>
    <w:p>
      <w:pPr>
        <w:pStyle w:val="Heading2"/>
        <w:spacing w:after="140" w:before="260"/>
      </w:pPr>
      <w:r>
        <w:rPr>
          <w:rFonts w:ascii="Times New Roman" w:cs="Times New Roman" w:eastAsia="Times New Roman" w:hAnsi="Times New Roman"/>
          <w:b/>
          <w:bCs/>
          <w:color w:val="2E5496"/>
          <w:sz w:val="25"/>
          <w:szCs w:val="25"/>
        </w:rPr>
        <w:t>8.5. Đối đầu trực tiếp: XGBoost và từng luật kỹ thuật</w:t>
      </w:r>
    </w:p>
    <w:p>
      <w:pPr>
        <w:spacing w:after="140" w:line="300"/>
        <w:jc w:val="both"/>
      </w:pPr>
      <w:r>
        <w:rPr>
          <w:rFonts w:ascii="Times New Roman" w:cs="Times New Roman" w:eastAsia="Times New Roman" w:hAnsi="Times New Roman"/>
          <w:sz w:val="22"/>
          <w:szCs w:val="22"/>
        </w:rPr>
        <w:t xml:space="preserve">Phép so sánh chặt chẽ nhất ghép cặp theo </w:t>
      </w:r>
      <w:r>
        <w:rPr>
          <w:rFonts w:ascii="Times New Roman" w:cs="Times New Roman" w:eastAsia="Times New Roman" w:hAnsi="Times New Roman"/>
          <w:b/>
          <w:bCs/>
          <w:sz w:val="22"/>
          <w:szCs w:val="22"/>
        </w:rPr>
        <w:t>cùng chiến lược, cùng năm</w:t>
      </w:r>
      <w:r>
        <w:rPr>
          <w:rFonts w:ascii="Times New Roman" w:cs="Times New Roman" w:eastAsia="Times New Roman" w:hAnsi="Times New Roman"/>
          <w:sz w:val="22"/>
          <w:szCs w:val="22"/>
        </w:rPr>
        <w:t>: 9 chiến lược × 6 năm = 54 cặp cho mỗi luật kỹ thuật. Kiểm định Wilcoxon dấu và hạng hai phía được dùng vì lợi nhuận có đuôi dày, vi phạm giả định chuẩn của kiểm định t. Năm không có lệnh nào được tính Sharpe bằng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50"/>
        <w:gridCol w:w="1350"/>
        <w:gridCol w:w="1500"/>
        <w:gridCol w:w="1150"/>
        <w:gridCol w:w="1350"/>
        <w:gridCol w:w="1160"/>
      </w:tblGrid>
      <w:tr>
        <w:trPr>
          <w:tblHeader/>
        </w:trPr>
        <w:tc>
          <w:tcPr>
            <w:tcW w:type="dxa" w:w="1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Cặp</w:t>
            </w:r>
          </w:p>
        </w:tc>
        <w:tc>
          <w:tcPr>
            <w:tcW w:type="dxa" w:w="135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Thắng Sharpe toàn kỳ</w:t>
            </w:r>
          </w:p>
        </w:tc>
        <w:tc>
          <w:tcPr>
            <w:tcW w:type="dxa" w:w="135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Thắng Return năm</w:t>
            </w:r>
          </w:p>
        </w:tc>
        <w:tc>
          <w:tcPr>
            <w:tcW w:type="dxa" w:w="15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Chênh Return TB (điểm %)</w:t>
            </w:r>
          </w:p>
        </w:tc>
        <w:tc>
          <w:tcPr>
            <w:tcW w:type="dxa" w:w="115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p (Return)</w:t>
            </w:r>
          </w:p>
        </w:tc>
        <w:tc>
          <w:tcPr>
            <w:tcW w:type="dxa" w:w="135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Thắng Sharpe năm</w:t>
            </w:r>
          </w:p>
        </w:tc>
        <w:tc>
          <w:tcPr>
            <w:tcW w:type="dxa" w:w="11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p (Sharpe)</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XGB vs MA</w:t>
            </w:r>
          </w:p>
        </w:tc>
        <w:tc>
          <w:tcPr>
            <w:tcW w:type="dxa" w:w="13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 / 9</w:t>
            </w:r>
          </w:p>
        </w:tc>
        <w:tc>
          <w:tcPr>
            <w:tcW w:type="dxa" w:w="13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24 / 54</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-4,94</w:t>
            </w:r>
          </w:p>
        </w:tc>
        <w:tc>
          <w:tcPr>
            <w:tcW w:type="dxa" w:w="11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0,0353</w:t>
            </w:r>
          </w:p>
        </w:tc>
        <w:tc>
          <w:tcPr>
            <w:tcW w:type="dxa" w:w="13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26 / 54</w:t>
            </w:r>
          </w:p>
        </w:tc>
        <w:tc>
          <w:tcPr>
            <w:tcW w:type="dxa" w:w="11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0,5410</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XGB vs RSI</w:t>
            </w:r>
          </w:p>
        </w:tc>
        <w:tc>
          <w:tcPr>
            <w:tcW w:type="dxa" w:w="13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7 / 9</w:t>
            </w:r>
          </w:p>
        </w:tc>
        <w:tc>
          <w:tcPr>
            <w:tcW w:type="dxa" w:w="13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36 / 54</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+2,63</w:t>
            </w:r>
          </w:p>
        </w:tc>
        <w:tc>
          <w:tcPr>
            <w:tcW w:type="dxa" w:w="11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0,0686</w:t>
            </w:r>
          </w:p>
        </w:tc>
        <w:tc>
          <w:tcPr>
            <w:tcW w:type="dxa" w:w="13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35 / 54</w:t>
            </w:r>
          </w:p>
        </w:tc>
        <w:tc>
          <w:tcPr>
            <w:tcW w:type="dxa" w:w="11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0,0092</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XGB vs MACD</w:t>
            </w:r>
          </w:p>
        </w:tc>
        <w:tc>
          <w:tcPr>
            <w:tcW w:type="dxa" w:w="13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5 / 8</w:t>
            </w:r>
          </w:p>
        </w:tc>
        <w:tc>
          <w:tcPr>
            <w:tcW w:type="dxa" w:w="13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34 / 54</w:t>
            </w:r>
          </w:p>
        </w:tc>
        <w:tc>
          <w:tcPr>
            <w:tcW w:type="dxa" w:w="15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+0,10</w:t>
            </w:r>
          </w:p>
        </w:tc>
        <w:tc>
          <w:tcPr>
            <w:tcW w:type="dxa" w:w="11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0,4669</w:t>
            </w:r>
          </w:p>
        </w:tc>
        <w:tc>
          <w:tcPr>
            <w:tcW w:type="dxa" w:w="135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32 / 54</w:t>
            </w:r>
          </w:p>
        </w:tc>
        <w:tc>
          <w:tcPr>
            <w:tcW w:type="dxa" w:w="11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0,1161</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XGB vs TH</w:t>
            </w:r>
          </w:p>
        </w:tc>
        <w:tc>
          <w:tcPr>
            <w:tcW w:type="dxa" w:w="13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6 / 9</w:t>
            </w:r>
          </w:p>
        </w:tc>
        <w:tc>
          <w:tcPr>
            <w:tcW w:type="dxa" w:w="13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36 / 54</w:t>
            </w:r>
          </w:p>
        </w:tc>
        <w:tc>
          <w:tcPr>
            <w:tcW w:type="dxa" w:w="15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+1,65</w:t>
            </w:r>
          </w:p>
        </w:tc>
        <w:tc>
          <w:tcPr>
            <w:tcW w:type="dxa" w:w="11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0,0890</w:t>
            </w:r>
          </w:p>
        </w:tc>
        <w:tc>
          <w:tcPr>
            <w:tcW w:type="dxa" w:w="135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33 / 54</w:t>
            </w:r>
          </w:p>
        </w:tc>
        <w:tc>
          <w:tcPr>
            <w:tcW w:type="dxa" w:w="11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19"/>
                <w:szCs w:val="19"/>
              </w:rPr>
              <w:t>0,0368</w:t>
            </w:r>
          </w:p>
        </w:tc>
      </w:tr>
    </w:tbl>
    <w:p>
      <w:pPr>
        <w:spacing w:after="180" w:before="70"/>
        <w:jc w:val="center"/>
      </w:pPr>
      <w:r>
        <w:rPr>
          <w:rFonts w:ascii="Times New Roman" w:cs="Times New Roman" w:eastAsia="Times New Roman" w:hAnsi="Times New Roman"/>
          <w:i/>
          <w:iCs/>
          <w:color w:val="555555"/>
          <w:sz w:val="19"/>
          <w:szCs w:val="19"/>
        </w:rPr>
        <w:t>Bảng 8.5 — XGBoost đối đầu từng luật kỹ thuật trên các cặp (chiến lược, năm)</w:t>
      </w:r>
    </w:p>
    <w:p>
      <w:pPr>
        <w:pStyle w:val="ListParagraph"/>
        <w:numPr>
          <w:ilvl w:val="0"/>
          <w:numId w:val="27"/>
        </w:numPr>
        <w:spacing w:after="90" w:line="290"/>
        <w:jc w:val="both"/>
      </w:pPr>
      <w:r>
        <w:rPr>
          <w:rFonts w:ascii="Times New Roman" w:cs="Times New Roman" w:eastAsia="Times New Roman" w:hAnsi="Times New Roman"/>
          <w:b/>
          <w:bCs/>
          <w:sz w:val="22"/>
          <w:szCs w:val="22"/>
        </w:rPr>
        <w:t>XGB vs RSI:</w:t>
      </w:r>
      <w:r>
        <w:rPr>
          <w:rFonts w:ascii="Times New Roman" w:cs="Times New Roman" w:eastAsia="Times New Roman" w:hAnsi="Times New Roman"/>
          <w:sz w:val="22"/>
          <w:szCs w:val="22"/>
        </w:rPr>
        <w:t xml:space="preserve"> XGBoost thắng 35 / 54 cặp về Sharpe năm, p = 0,0092 — khác biệt có ý nghĩa thống kê; về lợi nhuận năm chênh +2,63 điểm, p = 0,0686 (sát ngưỡng).</w:t>
      </w:r>
    </w:p>
    <w:p>
      <w:pPr>
        <w:pStyle w:val="ListParagraph"/>
        <w:numPr>
          <w:ilvl w:val="0"/>
          <w:numId w:val="27"/>
        </w:numPr>
        <w:spacing w:after="90" w:line="290"/>
        <w:jc w:val="both"/>
      </w:pPr>
      <w:r>
        <w:rPr>
          <w:rFonts w:ascii="Times New Roman" w:cs="Times New Roman" w:eastAsia="Times New Roman" w:hAnsi="Times New Roman"/>
          <w:b/>
          <w:bCs/>
          <w:sz w:val="22"/>
          <w:szCs w:val="22"/>
        </w:rPr>
        <w:t>XGB vs TH:</w:t>
      </w:r>
      <w:r>
        <w:rPr>
          <w:rFonts w:ascii="Times New Roman" w:cs="Times New Roman" w:eastAsia="Times New Roman" w:hAnsi="Times New Roman"/>
          <w:sz w:val="22"/>
          <w:szCs w:val="22"/>
        </w:rPr>
        <w:t xml:space="preserve"> thắng 33 / 54 cặp về Sharpe năm, p = 0,0368 — có ý nghĩa; lợi nhuận năm cao hơn 1,65 điểm, p = 0,0890.</w:t>
      </w:r>
    </w:p>
    <w:p>
      <w:pPr>
        <w:pStyle w:val="ListParagraph"/>
        <w:numPr>
          <w:ilvl w:val="0"/>
          <w:numId w:val="27"/>
        </w:numPr>
        <w:spacing w:after="90" w:line="290"/>
        <w:jc w:val="both"/>
      </w:pPr>
      <w:r>
        <w:rPr>
          <w:rFonts w:ascii="Times New Roman" w:cs="Times New Roman" w:eastAsia="Times New Roman" w:hAnsi="Times New Roman"/>
          <w:b/>
          <w:bCs/>
          <w:sz w:val="22"/>
          <w:szCs w:val="22"/>
        </w:rPr>
        <w:t>XGB vs MACD:</w:t>
      </w:r>
      <w:r>
        <w:rPr>
          <w:rFonts w:ascii="Times New Roman" w:cs="Times New Roman" w:eastAsia="Times New Roman" w:hAnsi="Times New Roman"/>
          <w:sz w:val="22"/>
          <w:szCs w:val="22"/>
        </w:rPr>
        <w:t xml:space="preserve"> không khác biệt có ý nghĩa (p = 0,1161 về Sharpe năm, 0,4669 về lợi nhuận).</w:t>
      </w:r>
    </w:p>
    <w:p>
      <w:pPr>
        <w:pStyle w:val="ListParagraph"/>
        <w:numPr>
          <w:ilvl w:val="0"/>
          <w:numId w:val="27"/>
        </w:numPr>
        <w:spacing w:after="90" w:line="290"/>
        <w:jc w:val="both"/>
      </w:pPr>
      <w:r>
        <w:rPr>
          <w:rFonts w:ascii="Times New Roman" w:cs="Times New Roman" w:eastAsia="Times New Roman" w:hAnsi="Times New Roman"/>
          <w:b/>
          <w:bCs/>
          <w:sz w:val="22"/>
          <w:szCs w:val="22"/>
        </w:rPr>
        <w:t>XGB vs MA:</w:t>
      </w:r>
      <w:r>
        <w:rPr>
          <w:rFonts w:ascii="Times New Roman" w:cs="Times New Roman" w:eastAsia="Times New Roman" w:hAnsi="Times New Roman"/>
          <w:sz w:val="22"/>
          <w:szCs w:val="22"/>
        </w:rPr>
        <w:t xml:space="preserve"> MA vượt XGBoost về lợi nhuận năm, trung bình 4,94 điểm, p = 0,0353 — có ý nghĩa theo chiều ngược lại; về Sharpe năm không khác biệt (p = 0,5410).</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LƯU Ý VỀ ĐA SO SÁNH</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 xml:space="preserve">Bảng trên gồm 8 phép kiểm định. Nếu áp hiệu chỉnh Bonferroni thận trọng (ngưỡng 0,05 / 8 ≈ 0,006), chỉ kết quả XGB vs RSI về Sharpe năm (p = 0,0092) còn gần ngưỡng; các kết luận khác nên được trình bày là </w:t>
      </w:r>
      <w:r>
        <w:rPr>
          <w:rFonts w:ascii="Times New Roman" w:cs="Times New Roman" w:eastAsia="Times New Roman" w:hAnsi="Times New Roman"/>
          <w:i/>
          <w:iCs/>
          <w:sz w:val="22"/>
          <w:szCs w:val="22"/>
        </w:rPr>
        <w:t>xu hướng</w:t>
      </w:r>
      <w:r>
        <w:rPr>
          <w:rFonts w:ascii="Times New Roman" w:cs="Times New Roman" w:eastAsia="Times New Roman" w:hAnsi="Times New Roman"/>
          <w:sz w:val="22"/>
          <w:szCs w:val="22"/>
        </w:rPr>
        <w:t xml:space="preserve"> chứ không phải khẳng định chắc chắn. Việc công bố số phép kiểm định là bắt buộc để người đọc tự đánh giá.</w:t>
      </w:r>
    </w:p>
    <w:p>
      <w:pPr>
        <w:spacing w:after="60"/>
      </w:pPr>
    </w:p>
    <w:p>
      <w:pPr>
        <w:pStyle w:val="Heading2"/>
        <w:spacing w:after="140" w:before="260"/>
      </w:pPr>
      <w:r>
        <w:rPr>
          <w:rFonts w:ascii="Times New Roman" w:cs="Times New Roman" w:eastAsia="Times New Roman" w:hAnsi="Times New Roman"/>
          <w:b/>
          <w:bCs/>
          <w:color w:val="2E5496"/>
          <w:sz w:val="25"/>
          <w:szCs w:val="25"/>
        </w:rPr>
        <w:t>8.6. Kiểm chứng ngược (S12)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300"/>
        <w:gridCol w:w="1400"/>
        <w:gridCol w:w="1100"/>
        <w:gridCol w:w="4460"/>
      </w:tblGrid>
      <w:tr>
        <w:trPr>
          <w:tblHeader/>
        </w:trPr>
        <w:tc>
          <w:tcPr>
            <w:tcW w:type="dxa" w:w="11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Nguồn</w:t>
            </w:r>
          </w:p>
        </w:tc>
        <w:tc>
          <w:tcPr>
            <w:tcW w:type="dxa" w:w="13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Sharpe S12</w:t>
            </w:r>
          </w:p>
        </w:tc>
        <w:tc>
          <w:tcPr>
            <w:tcW w:type="dxa" w:w="14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Net (USD)</w:t>
            </w:r>
          </w:p>
        </w:tc>
        <w:tc>
          <w:tcPr>
            <w:tcW w:type="dxa" w:w="11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Phân vị</w:t>
            </w:r>
          </w:p>
        </w:tc>
        <w:tc>
          <w:tcPr>
            <w:tcW w:type="dxa" w:w="44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Diễn giải</w:t>
            </w:r>
          </w:p>
        </w:tc>
      </w:tr>
      <w:tr>
        <w:tc>
          <w:tcPr>
            <w:tcW w:type="dxa" w:w="1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-0,768</w:t>
            </w:r>
          </w:p>
        </w:tc>
        <w:tc>
          <w:tcPr>
            <w:tcW w:type="dxa" w:w="14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-3.642</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w:t>
            </w:r>
          </w:p>
        </w:tc>
        <w:tc>
          <w:tcPr>
            <w:tcW w:type="dxa" w:w="44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Dự báo có giá trị: đánh ngược thì lỗ rõ rệt</w:t>
            </w:r>
          </w:p>
        </w:tc>
      </w:tr>
      <w:tr>
        <w:tc>
          <w:tcPr>
            <w:tcW w:type="dxa" w:w="1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RSI</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0,517</w:t>
            </w:r>
          </w:p>
        </w:tc>
        <w:tc>
          <w:tcPr>
            <w:tcW w:type="dxa" w:w="14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3.644</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98</w:t>
            </w:r>
          </w:p>
        </w:tc>
        <w:tc>
          <w:tcPr>
            <w:tcW w:type="dxa" w:w="44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Đánh ngược lại có lãi: dự báo mang tính ngược xu hướng</w:t>
            </w:r>
          </w:p>
        </w:tc>
      </w:tr>
      <w:tr>
        <w:tc>
          <w:tcPr>
            <w:tcW w:type="dxa" w:w="1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MACD</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0,474</w:t>
            </w:r>
          </w:p>
        </w:tc>
        <w:tc>
          <w:tcPr>
            <w:tcW w:type="dxa" w:w="14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2.297</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94</w:t>
            </w:r>
          </w:p>
        </w:tc>
        <w:tc>
          <w:tcPr>
            <w:tcW w:type="dxa" w:w="44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Đánh ngược lại có lãi: dự báo mang tính ngược xu hướng</w:t>
            </w:r>
          </w:p>
        </w:tc>
      </w:tr>
      <w:tr>
        <w:tc>
          <w:tcPr>
            <w:tcW w:type="dxa" w:w="1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TH</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-0,019</w:t>
            </w:r>
          </w:p>
        </w:tc>
        <w:tc>
          <w:tcPr>
            <w:tcW w:type="dxa" w:w="14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-309</w:t>
            </w:r>
          </w:p>
        </w:tc>
        <w:tc>
          <w:tcPr>
            <w:tcW w:type="dxa" w:w="11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72</w:t>
            </w:r>
          </w:p>
        </w:tc>
        <w:tc>
          <w:tcPr>
            <w:tcW w:type="dxa" w:w="44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kết luận được: kết quả nằm trong vùng ngẫu nhiên</w:t>
            </w:r>
          </w:p>
        </w:tc>
      </w:tr>
      <w:tr>
        <w:tc>
          <w:tcPr>
            <w:tcW w:type="dxa" w:w="1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XGB</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-0,395</w:t>
            </w:r>
          </w:p>
        </w:tc>
        <w:tc>
          <w:tcPr>
            <w:tcW w:type="dxa" w:w="14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-1.750</w:t>
            </w:r>
          </w:p>
        </w:tc>
        <w:tc>
          <w:tcPr>
            <w:tcW w:type="dxa" w:w="11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8</w:t>
            </w:r>
          </w:p>
        </w:tc>
        <w:tc>
          <w:tcPr>
            <w:tcW w:type="dxa" w:w="44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Dự báo có giá trị: đánh ngược thì lỗ rõ rệt</w:t>
            </w:r>
          </w:p>
        </w:tc>
      </w:tr>
    </w:tbl>
    <w:p>
      <w:pPr>
        <w:spacing w:after="180" w:before="70"/>
        <w:jc w:val="center"/>
      </w:pPr>
      <w:r>
        <w:rPr>
          <w:rFonts w:ascii="Times New Roman" w:cs="Times New Roman" w:eastAsia="Times New Roman" w:hAnsi="Times New Roman"/>
          <w:i/>
          <w:iCs/>
          <w:color w:val="555555"/>
          <w:sz w:val="19"/>
          <w:szCs w:val="19"/>
        </w:rPr>
        <w:t>Bảng 8.6 — Kết quả khi đánh ngược dự báo của từng nguồn</w:t>
      </w:r>
    </w:p>
    <w:p>
      <w:pPr>
        <w:spacing w:after="140" w:line="300"/>
        <w:jc w:val="both"/>
      </w:pPr>
      <w:r>
        <w:rPr>
          <w:rFonts w:ascii="Times New Roman" w:cs="Times New Roman" w:eastAsia="Times New Roman" w:hAnsi="Times New Roman"/>
          <w:sz w:val="22"/>
          <w:szCs w:val="22"/>
        </w:rPr>
        <w:t xml:space="preserve">Nếu một nguồn dự báo mang thông tin thật, đánh ngược nó phải thua lỗ. Điều này đúng với </w:t>
      </w:r>
      <w:r>
        <w:rPr>
          <w:rFonts w:ascii="Times New Roman" w:cs="Times New Roman" w:eastAsia="Times New Roman" w:hAnsi="Times New Roman"/>
          <w:b/>
          <w:bCs/>
          <w:sz w:val="22"/>
          <w:szCs w:val="22"/>
        </w:rPr>
        <w:t>XGBoost</w:t>
      </w:r>
      <w:r>
        <w:rPr>
          <w:rFonts w:ascii="Times New Roman" w:cs="Times New Roman" w:eastAsia="Times New Roman" w:hAnsi="Times New Roman"/>
          <w:sz w:val="22"/>
          <w:szCs w:val="22"/>
        </w:rPr>
        <w:t xml:space="preserve"> (phân vị 8%) và </w:t>
      </w:r>
      <w:r>
        <w:rPr>
          <w:rFonts w:ascii="Times New Roman" w:cs="Times New Roman" w:eastAsia="Times New Roman" w:hAnsi="Times New Roman"/>
          <w:b/>
          <w:bCs/>
          <w:sz w:val="22"/>
          <w:szCs w:val="22"/>
        </w:rPr>
        <w:t>MA</w:t>
      </w:r>
      <w:r>
        <w:rPr>
          <w:rFonts w:ascii="Times New Roman" w:cs="Times New Roman" w:eastAsia="Times New Roman" w:hAnsi="Times New Roman"/>
          <w:sz w:val="22"/>
          <w:szCs w:val="22"/>
        </w:rPr>
        <w:t xml:space="preserve"> (phân vị 2%) — hai nguồn có nhiều chiến lược vượt ngẫu nhiên nhất ở mục 8.4. Với </w:t>
      </w:r>
      <w:r>
        <w:rPr>
          <w:rFonts w:ascii="Times New Roman" w:cs="Times New Roman" w:eastAsia="Times New Roman" w:hAnsi="Times New Roman"/>
          <w:b/>
          <w:bCs/>
          <w:sz w:val="22"/>
          <w:szCs w:val="22"/>
        </w:rPr>
        <w:t>RSI</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MACD</w:t>
      </w:r>
      <w:r>
        <w:rPr>
          <w:rFonts w:ascii="Times New Roman" w:cs="Times New Roman" w:eastAsia="Times New Roman" w:hAnsi="Times New Roman"/>
          <w:sz w:val="22"/>
          <w:szCs w:val="22"/>
        </w:rPr>
        <w:t>, đánh ngược lại có lãi: RSI báo uptrend khi thị trường quá bán, nhưng trong giai đoạn vàng có xu hướng mạnh, quá bán thường tiếp tục giảm và quá mua thường tiếp tục tăng. Đây là phát hiện có giá trị thực tiễn: dùng RSI như tín hiệu đảo chiều trên vàng khung H1 giai đoạn này là sai hướng.</w:t>
      </w:r>
    </w:p>
    <w:p>
      <w:pPr>
        <w:pStyle w:val="Heading2"/>
        <w:spacing w:after="140" w:before="260"/>
      </w:pPr>
      <w:r>
        <w:rPr>
          <w:rFonts w:ascii="Times New Roman" w:cs="Times New Roman" w:eastAsia="Times New Roman" w:hAnsi="Times New Roman"/>
          <w:b/>
          <w:bCs/>
          <w:color w:val="2E5496"/>
          <w:sz w:val="25"/>
          <w:szCs w:val="25"/>
        </w:rPr>
        <w:t>8.7. Lợi nhuận tách theo chiều BUY và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1700"/>
        <w:gridCol w:w="1300"/>
        <w:gridCol w:w="1700"/>
        <w:gridCol w:w="1860"/>
      </w:tblGrid>
      <w:tr>
        <w:trPr>
          <w:tblHeader/>
        </w:trPr>
        <w:tc>
          <w:tcPr>
            <w:tcW w:type="dxa" w:w="15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Kịch bản</w:t>
            </w:r>
          </w:p>
        </w:tc>
        <w:tc>
          <w:tcPr>
            <w:tcW w:type="dxa" w:w="13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Lệnh BUY</w:t>
            </w:r>
          </w:p>
        </w:tc>
        <w:tc>
          <w:tcPr>
            <w:tcW w:type="dxa" w:w="17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Lãi BUY (USD)</w:t>
            </w:r>
          </w:p>
        </w:tc>
        <w:tc>
          <w:tcPr>
            <w:tcW w:type="dxa" w:w="13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Lệnh SELL</w:t>
            </w:r>
          </w:p>
        </w:tc>
        <w:tc>
          <w:tcPr>
            <w:tcW w:type="dxa" w:w="170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Lãi SELL (USD)</w:t>
            </w:r>
          </w:p>
        </w:tc>
        <w:tc>
          <w:tcPr>
            <w:tcW w:type="dxa" w:w="1860"/>
            <w:shd w:fill="1F3864" w:color="auto" w:val="clear"/>
            <w:tcMar>
              <w:top w:type="dxa" w:w="70"/>
              <w:left w:type="dxa" w:w="90"/>
              <w:bottom w:type="dxa" w:w="70"/>
              <w:right w:type="dxa" w:w="90"/>
            </w:tcMar>
          </w:tcPr>
          <w:p>
            <w:pPr>
              <w:spacing w:after="0"/>
              <w:jc w:val="right"/>
            </w:pPr>
            <w:r>
              <w:rPr>
                <w:rFonts w:ascii="Times New Roman" w:cs="Times New Roman" w:eastAsia="Times New Roman" w:hAnsi="Times New Roman"/>
                <w:b/>
                <w:bCs/>
                <w:color w:val="FFFFFF"/>
                <w:sz w:val="19"/>
                <w:szCs w:val="19"/>
              </w:rPr>
              <w:t>% nến giữ 2 chiều</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S03-XGB</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35</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2.439</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39</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-670</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37,3</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S03-MA</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57</w:t>
            </w:r>
          </w:p>
        </w:tc>
        <w:tc>
          <w:tcPr>
            <w:tcW w:type="dxa" w:w="1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3.108</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71</w:t>
            </w:r>
          </w:p>
        </w:tc>
        <w:tc>
          <w:tcPr>
            <w:tcW w:type="dxa" w:w="1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-3.031</w:t>
            </w:r>
          </w:p>
        </w:tc>
        <w:tc>
          <w:tcPr>
            <w:tcW w:type="dxa" w:w="18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91,1</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S06-XGB</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44</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888</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65</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1.213</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1,6</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S06-TH</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26</w:t>
            </w:r>
          </w:p>
        </w:tc>
        <w:tc>
          <w:tcPr>
            <w:tcW w:type="dxa" w:w="1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1.286</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27</w:t>
            </w:r>
          </w:p>
        </w:tc>
        <w:tc>
          <w:tcPr>
            <w:tcW w:type="dxa" w:w="1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772</w:t>
            </w:r>
          </w:p>
        </w:tc>
        <w:tc>
          <w:tcPr>
            <w:tcW w:type="dxa" w:w="18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0,7</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S08-MA</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417</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9.710</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383</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-5.515</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45,7</w:t>
            </w:r>
          </w:p>
        </w:tc>
      </w:tr>
      <w:tr>
        <w:tc>
          <w:tcPr>
            <w:tcW w:type="dxa" w:w="15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S14-XGB</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122</w:t>
            </w:r>
          </w:p>
        </w:tc>
        <w:tc>
          <w:tcPr>
            <w:tcW w:type="dxa" w:w="1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223</w:t>
            </w:r>
          </w:p>
        </w:tc>
        <w:tc>
          <w:tcPr>
            <w:tcW w:type="dxa" w:w="13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135</w:t>
            </w:r>
          </w:p>
        </w:tc>
        <w:tc>
          <w:tcPr>
            <w:tcW w:type="dxa" w:w="170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1.733</w:t>
            </w:r>
          </w:p>
        </w:tc>
        <w:tc>
          <w:tcPr>
            <w:tcW w:type="dxa" w:w="1860"/>
            <w:shd w:fill="F2F5FA"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2,4</w:t>
            </w:r>
          </w:p>
        </w:tc>
      </w:tr>
      <w:tr>
        <w:tc>
          <w:tcPr>
            <w:tcW w:type="dxa" w:w="15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S14-MA</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504</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10.482</w:t>
            </w:r>
          </w:p>
        </w:tc>
        <w:tc>
          <w:tcPr>
            <w:tcW w:type="dxa" w:w="13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512</w:t>
            </w:r>
          </w:p>
        </w:tc>
        <w:tc>
          <w:tcPr>
            <w:tcW w:type="dxa" w:w="170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-6.317</w:t>
            </w:r>
          </w:p>
        </w:tc>
        <w:tc>
          <w:tcPr>
            <w:tcW w:type="dxa" w:w="1860"/>
            <w:shd w:fill="FFFFFF" w:color="auto" w:val="clear"/>
            <w:tcMar>
              <w:top w:type="dxa" w:w="60"/>
              <w:left w:type="dxa" w:w="90"/>
              <w:bottom w:type="dxa" w:w="60"/>
              <w:right w:type="dxa" w:w="90"/>
            </w:tcMar>
          </w:tcPr>
          <w:p>
            <w:pPr>
              <w:spacing w:after="20" w:line="250"/>
              <w:jc w:val="right"/>
            </w:pPr>
            <w:r>
              <w:rPr>
                <w:rFonts w:ascii="Times New Roman" w:cs="Times New Roman" w:eastAsia="Times New Roman" w:hAnsi="Times New Roman"/>
                <w:sz w:val="20"/>
                <w:szCs w:val="20"/>
              </w:rPr>
              <w:t>48,5</w:t>
            </w:r>
          </w:p>
        </w:tc>
      </w:tr>
    </w:tbl>
    <w:p>
      <w:pPr>
        <w:spacing w:after="180" w:before="70"/>
        <w:jc w:val="center"/>
      </w:pPr>
      <w:r>
        <w:rPr>
          <w:rFonts w:ascii="Times New Roman" w:cs="Times New Roman" w:eastAsia="Times New Roman" w:hAnsi="Times New Roman"/>
          <w:i/>
          <w:iCs/>
          <w:color w:val="555555"/>
          <w:sz w:val="19"/>
          <w:szCs w:val="19"/>
        </w:rPr>
        <w:t>Bảng 8.7 — Lợi nhuận tách theo chiều lệnh ở một số kịch bản tiêu biểu</w:t>
      </w:r>
    </w:p>
    <w:p>
      <w:pPr>
        <w:spacing w:after="140" w:line="300"/>
        <w:jc w:val="both"/>
      </w:pPr>
      <w:r>
        <w:rPr>
          <w:rFonts w:ascii="Times New Roman" w:cs="Times New Roman" w:eastAsia="Times New Roman" w:hAnsi="Times New Roman"/>
          <w:sz w:val="22"/>
          <w:szCs w:val="22"/>
        </w:rPr>
        <w:t xml:space="preserve">Với các luật kỹ thuật, gần như toàn bộ lợi nhuận đến từ </w:t>
      </w:r>
      <w:r>
        <w:rPr>
          <w:rFonts w:ascii="Times New Roman" w:cs="Times New Roman" w:eastAsia="Times New Roman" w:hAnsi="Times New Roman"/>
          <w:b/>
          <w:bCs/>
          <w:sz w:val="22"/>
          <w:szCs w:val="22"/>
        </w:rPr>
        <w:t>chiều mua</w:t>
      </w:r>
      <w:r>
        <w:rPr>
          <w:rFonts w:ascii="Times New Roman" w:cs="Times New Roman" w:eastAsia="Times New Roman" w:hAnsi="Times New Roman"/>
          <w:sz w:val="22"/>
          <w:szCs w:val="22"/>
        </w:rPr>
        <w:t xml:space="preserve">; chiều bán thua lỗ đều đặn (S08-MA: BUY 9.710 USD, SELL -5.515 USD). Nói cách khác, lợi thế của MA phần lớn là lợi thế của việc </w:t>
      </w:r>
      <w:r>
        <w:rPr>
          <w:rFonts w:ascii="Times New Roman" w:cs="Times New Roman" w:eastAsia="Times New Roman" w:hAnsi="Times New Roman"/>
          <w:i/>
          <w:iCs/>
          <w:sz w:val="22"/>
          <w:szCs w:val="22"/>
        </w:rPr>
        <w:t>đang có vị thế mua trong một thị trường tăng</w:t>
      </w:r>
      <w:r>
        <w:rPr>
          <w:rFonts w:ascii="Times New Roman" w:cs="Times New Roman" w:eastAsia="Times New Roman" w:hAnsi="Times New Roman"/>
          <w:sz w:val="22"/>
          <w:szCs w:val="22"/>
        </w:rPr>
        <w:t>. XGBoost khác biệt ở chỗ có lãi cả ở chiều bán trong một số chiến lược (S06-XGB: SELL +1.213 USD; S14-XGB: SELL +1.733 USD) — dấu hiệu mô hình nhận ra được một phần các nhịp giảm.</w:t>
      </w:r>
    </w:p>
    <w:p>
      <w:r>
        <w:br w:type="page"/>
      </w:r>
    </w:p>
    <w:p>
      <w:pPr>
        <w:pStyle w:val="Heading1"/>
        <w:spacing w:after="200" w:before="240"/>
      </w:pPr>
      <w:r>
        <w:rPr>
          <w:rFonts w:ascii="Times New Roman" w:cs="Times New Roman" w:eastAsia="Times New Roman" w:hAnsi="Times New Roman"/>
          <w:b/>
          <w:bCs/>
          <w:color w:val="1F3864"/>
          <w:sz w:val="30"/>
          <w:szCs w:val="30"/>
        </w:rPr>
        <w:t>CHƯƠNG 9. THẢO LUẬN VÀ KIỂM ĐỊNH GIẢ THUYẾT</w:t>
      </w:r>
    </w:p>
    <w:p>
      <w:pPr>
        <w:pStyle w:val="Heading2"/>
        <w:spacing w:after="140" w:before="260"/>
      </w:pPr>
      <w:r>
        <w:rPr>
          <w:rFonts w:ascii="Times New Roman" w:cs="Times New Roman" w:eastAsia="Times New Roman" w:hAnsi="Times New Roman"/>
          <w:b/>
          <w:bCs/>
          <w:color w:val="2E5496"/>
          <w:sz w:val="25"/>
          <w:szCs w:val="25"/>
        </w:rPr>
        <w:t>9.1. Kết luận từng giả thuyết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100"/>
        <w:gridCol w:w="3560"/>
      </w:tblGrid>
      <w:tr>
        <w:trPr>
          <w:tblHeader/>
        </w:trPr>
        <w:tc>
          <w:tcPr>
            <w:tcW w:type="dxa" w:w="7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Mã</w:t>
            </w:r>
          </w:p>
        </w:tc>
        <w:tc>
          <w:tcPr>
            <w:tcW w:type="dxa" w:w="51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Kết quả thực nghiệm</w:t>
            </w:r>
          </w:p>
        </w:tc>
        <w:tc>
          <w:tcPr>
            <w:tcW w:type="dxa" w:w="35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Kết luận</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H1</w:t>
            </w:r>
          </w:p>
        </w:tc>
        <w:tc>
          <w:tcPr>
            <w:tcW w:type="dxa" w:w="5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XGB &gt; RSI (p = 0,0092) và &gt; TH (p = 0,0368) về Sharpe năm; ≈ MACD; MA &gt; XGB về lợi nhuận năm (p = 0,0353)</w:t>
            </w:r>
          </w:p>
        </w:tc>
        <w:tc>
          <w:tcPr>
            <w:tcW w:type="dxa" w:w="3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Chấp nhận một phần — phụ thuộc luật được so sánh</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H2</w:t>
            </w:r>
          </w:p>
        </w:tc>
        <w:tc>
          <w:tcPr>
            <w:tcW w:type="dxa" w:w="5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XGB thắng ngẫu nhiên 4/9, MA 7/9; RSI 1/9, MACD 0/9</w:t>
            </w:r>
          </w:p>
        </w:tc>
        <w:tc>
          <w:tcPr>
            <w:tcW w:type="dxa" w:w="3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Chấp nhận cho XGB và MA; bác bỏ cho RSI, MACD</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H3</w:t>
            </w:r>
          </w:p>
        </w:tc>
        <w:tc>
          <w:tcPr>
            <w:tcW w:type="dxa" w:w="5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S12 âm với XGB, MA; dương với RSI, MACD</w:t>
            </w:r>
          </w:p>
        </w:tc>
        <w:tc>
          <w:tcPr>
            <w:tcW w:type="dxa" w:w="3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Xác nhận XGB và MA mang thông tin; RSI, MACD ngược xu hướng</w:t>
            </w:r>
          </w:p>
        </w:tc>
      </w:tr>
      <w:tr>
        <w:tc>
          <w:tcPr>
            <w:tcW w:type="dxa" w:w="7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H4</w:t>
            </w:r>
          </w:p>
        </w:tc>
        <w:tc>
          <w:tcPr>
            <w:tcW w:type="dxa" w:w="5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S03-XGB, S06-TH có lãi 6/6 năm; các kịch bản MA tốt nhất có lãi 5 – 6/6 năm nhưng biên độ lớn</w:t>
            </w:r>
          </w:p>
        </w:tc>
        <w:tc>
          <w:tcPr>
            <w:tcW w:type="dxa" w:w="35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Chấp nhận cho S03-XGB và S06-TH</w:t>
            </w:r>
          </w:p>
        </w:tc>
      </w:tr>
      <w:tr>
        <w:tc>
          <w:tcPr>
            <w:tcW w:type="dxa" w:w="7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H5</w:t>
            </w:r>
          </w:p>
        </w:tc>
        <w:tc>
          <w:tcPr>
            <w:tcW w:type="dxa" w:w="5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S09 âm ở mọi nguồn có dự báo sideway (Sharpe từ −0,94 tới −1,46)</w:t>
            </w:r>
          </w:p>
        </w:tc>
        <w:tc>
          <w:tcPr>
            <w:tcW w:type="dxa" w:w="35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Chấp nhận — đánh vùng sideway không có lợi thế sau chi phí</w:t>
            </w:r>
          </w:p>
        </w:tc>
      </w:tr>
    </w:tbl>
    <w:p>
      <w:pPr>
        <w:spacing w:after="180" w:before="70"/>
        <w:jc w:val="center"/>
      </w:pPr>
      <w:r>
        <w:rPr>
          <w:rFonts w:ascii="Times New Roman" w:cs="Times New Roman" w:eastAsia="Times New Roman" w:hAnsi="Times New Roman"/>
          <w:i/>
          <w:iCs/>
          <w:color w:val="555555"/>
          <w:sz w:val="19"/>
          <w:szCs w:val="19"/>
        </w:rPr>
        <w:t>Bảng 9.1 — Tổng hợp kết quả kiểm định năm giả thuyết</w:t>
      </w:r>
    </w:p>
    <w:p>
      <w:pPr>
        <w:pStyle w:val="Heading2"/>
        <w:spacing w:after="140" w:before="260"/>
      </w:pPr>
      <w:r>
        <w:rPr>
          <w:rFonts w:ascii="Times New Roman" w:cs="Times New Roman" w:eastAsia="Times New Roman" w:hAnsi="Times New Roman"/>
          <w:b/>
          <w:bCs/>
          <w:color w:val="2E5496"/>
          <w:sz w:val="25"/>
          <w:szCs w:val="25"/>
        </w:rPr>
        <w:t>9.2. Vì sao MA mạnh về lợi nhuận nhưng yếu về rủi ro</w:t>
      </w:r>
    </w:p>
    <w:p>
      <w:pPr>
        <w:spacing w:after="140" w:line="300"/>
        <w:jc w:val="both"/>
      </w:pPr>
      <w:r>
        <w:rPr>
          <w:rFonts w:ascii="Times New Roman" w:cs="Times New Roman" w:eastAsia="Times New Roman" w:hAnsi="Times New Roman"/>
          <w:sz w:val="22"/>
          <w:szCs w:val="22"/>
        </w:rPr>
        <w:t>Luật MA10/MA30 luôn đưa ra xu hướng, nên các chiến lược trên MA luôn có vị thế. Trong sáu năm giá vàng tăng 2,8 lần, luôn có vị thế — đặc biệt vị thế mua — tự nó đã là một lợi thế. Cái giá phải trả là số lệnh rất lớn (khoảng 700 – 1.700 lệnh ở các chiến lược theo trend ngắn), kỳ vọng mỗi lệnh gần 0, thời gian giữ đồng thời hai chiều chiếm gần một nửa số nến, và mức sụt giảm 8 – 25 % ở các kịch bản có lãi. Nếu giai đoạn kiểm tra là một thị trường giảm hoặc đi ngang dài, không có gì bảo đảm lợi thế này còn tồn tại — chiều SELL của MA đã thua lỗ trong mọi chiến lược.</w:t>
      </w:r>
    </w:p>
    <w:p>
      <w:pPr>
        <w:pStyle w:val="Heading2"/>
        <w:spacing w:after="140" w:before="260"/>
      </w:pPr>
      <w:r>
        <w:rPr>
          <w:rFonts w:ascii="Times New Roman" w:cs="Times New Roman" w:eastAsia="Times New Roman" w:hAnsi="Times New Roman"/>
          <w:b/>
          <w:bCs/>
          <w:color w:val="2E5496"/>
          <w:sz w:val="25"/>
          <w:szCs w:val="25"/>
        </w:rPr>
        <w:t>9.3. Vì sao XGBoost ổn định hơn</w:t>
      </w:r>
    </w:p>
    <w:p>
      <w:pPr>
        <w:spacing w:after="140" w:line="300"/>
        <w:jc w:val="both"/>
      </w:pPr>
      <w:r>
        <w:rPr>
          <w:rFonts w:ascii="Times New Roman" w:cs="Times New Roman" w:eastAsia="Times New Roman" w:hAnsi="Times New Roman"/>
          <w:sz w:val="22"/>
          <w:szCs w:val="22"/>
        </w:rPr>
        <w:t>XGBoost chỉ dự báo xu hướng ở 0,5 – 7,4 % số nến mỗi năm (trung bình 2,8 %) — khi xác suất một hướng đủ cao. Ít lệnh nghĩa là ít phơi nhiễm, ít chi phí, và mức sụt giảm thấp. Kết hợp với chiến lược kỳ hạn dài (S03: SL 3 %, R:R 1:3), mỗi lệnh có không gian để xu hướng phát triển, và tỉ lệ thắng 31,1% đủ vượt mức hòa vốn 25 %. Nhưng ưu điểm này cũng là giới hạn: với vài chục đến vài trăm lệnh trong sáu năm, lợi nhuận tuyệt đối nhỏ (CAGR 2,75%) và kết quả của từng kịch bản riêng lẻ có độ tin cậy thống kê thấp.</w:t>
      </w:r>
    </w:p>
    <w:p>
      <w:pPr>
        <w:pStyle w:val="Heading2"/>
        <w:spacing w:after="140" w:before="260"/>
      </w:pPr>
      <w:r>
        <w:rPr>
          <w:rFonts w:ascii="Times New Roman" w:cs="Times New Roman" w:eastAsia="Times New Roman" w:hAnsi="Times New Roman"/>
          <w:b/>
          <w:bCs/>
          <w:color w:val="2E5496"/>
          <w:sz w:val="25"/>
          <w:szCs w:val="25"/>
        </w:rPr>
        <w:t>9.4. Hạn chế và rủi ro của nghiên cứu</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100"/>
        <w:gridCol w:w="2900"/>
        <w:gridCol w:w="3060"/>
      </w:tblGrid>
      <w:tr>
        <w:trPr>
          <w:tblHeader/>
        </w:trPr>
        <w:tc>
          <w:tcPr>
            <w:tcW w:type="dxa" w:w="23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Hạn chế</w:t>
            </w:r>
          </w:p>
        </w:tc>
        <w:tc>
          <w:tcPr>
            <w:tcW w:type="dxa" w:w="11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Mức độ</w:t>
            </w:r>
          </w:p>
        </w:tc>
        <w:tc>
          <w:tcPr>
            <w:tcW w:type="dxa" w:w="29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Biểu hiện</w:t>
            </w:r>
          </w:p>
        </w:tc>
        <w:tc>
          <w:tcPr>
            <w:tcW w:type="dxa" w:w="30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Hướng giảm thiểu</w:t>
            </w:r>
          </w:p>
        </w:tc>
      </w:tr>
      <w:tr>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Giai đoạn kiểm tra thiên về tăng giá</w:t>
            </w:r>
          </w:p>
        </w:tc>
        <w:tc>
          <w:tcPr>
            <w:tcW w:type="dxa" w:w="1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Cao</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Chiến lược thiên về BUY được lợi tự nhiên</w:t>
            </w:r>
          </w:p>
        </w:tc>
        <w:tc>
          <w:tcPr>
            <w:tcW w:type="dxa" w:w="30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Mở rộng kiểm tra về trước 2020; phân tích riêng các giai đoạn giảm</w:t>
            </w:r>
          </w:p>
        </w:tc>
      </w:tr>
      <w:tr>
        <w:tc>
          <w:tcPr>
            <w:tcW w:type="dxa" w:w="2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XGBoost ít lệnh</w:t>
            </w:r>
          </w:p>
        </w:tc>
        <w:tc>
          <w:tcPr>
            <w:tcW w:type="dxa" w:w="1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Cao</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Vài chục lệnh ở một số kịch bản</w:t>
            </w:r>
          </w:p>
        </w:tc>
        <w:tc>
          <w:tcPr>
            <w:tcW w:type="dxa" w:w="30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Kết luận dựa trên kiểm định ghép cặp nhiều năm; thử τ, δ thấp hơn</w:t>
            </w:r>
          </w:p>
        </w:tc>
      </w:tr>
      <w:tr>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Tham số XGBoost và (τ, δ) cố định</w:t>
            </w:r>
          </w:p>
        </w:tc>
        <w:tc>
          <w:tcPr>
            <w:tcW w:type="dxa" w:w="1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Trung bình</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Chưa tối ưu trong từng lần walk-forward</w:t>
            </w:r>
          </w:p>
        </w:tc>
        <w:tc>
          <w:tcPr>
            <w:tcW w:type="dxa" w:w="30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Tối ưu siêu tham số bên trong mỗi lần huấn luyện</w:t>
            </w:r>
          </w:p>
        </w:tc>
      </w:tr>
      <w:tr>
        <w:tc>
          <w:tcPr>
            <w:tcW w:type="dxa" w:w="2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Đa so sánh</w:t>
            </w:r>
          </w:p>
        </w:tc>
        <w:tc>
          <w:tcPr>
            <w:tcW w:type="dxa" w:w="1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Trung bình</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8 phép kiểm định cặp, 45 kịch bản</w:t>
            </w:r>
          </w:p>
        </w:tc>
        <w:tc>
          <w:tcPr>
            <w:tcW w:type="dxa" w:w="30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Công bố số phép thử; hiệu chỉnh Bonferroni/Benjamini–Hochberg</w:t>
            </w:r>
          </w:p>
        </w:tc>
      </w:tr>
      <w:tr>
        <w:tc>
          <w:tcPr>
            <w:tcW w:type="dxa" w:w="2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Chi phí giả định</w:t>
            </w:r>
          </w:p>
        </w:tc>
        <w:tc>
          <w:tcPr>
            <w:tcW w:type="dxa" w:w="11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Trung bình</w:t>
            </w:r>
          </w:p>
        </w:tc>
        <w:tc>
          <w:tcPr>
            <w:tcW w:type="dxa" w:w="29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Spread cố định 30 points, swap 0</w:t>
            </w:r>
          </w:p>
        </w:tc>
        <w:tc>
          <w:tcPr>
            <w:tcW w:type="dxa" w:w="30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Điền swap thật của sàn; phân tích độ nhạy chi phí ×1,5 và ×2</w:t>
            </w:r>
          </w:p>
        </w:tc>
      </w:tr>
      <w:tr>
        <w:tc>
          <w:tcPr>
            <w:tcW w:type="dxa" w:w="2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Một khung thời gian</w:t>
            </w:r>
          </w:p>
        </w:tc>
        <w:tc>
          <w:tcPr>
            <w:tcW w:type="dxa" w:w="11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Thấp</w:t>
            </w:r>
          </w:p>
        </w:tc>
        <w:tc>
          <w:tcPr>
            <w:tcW w:type="dxa" w:w="29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Kết quả của H1</w:t>
            </w:r>
          </w:p>
        </w:tc>
        <w:tc>
          <w:tcPr>
            <w:tcW w:type="dxa" w:w="30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Chạy lại quy trình cho M30, H4 (đã hỗ trợ sẵn)</w:t>
            </w:r>
          </w:p>
        </w:tc>
      </w:tr>
    </w:tbl>
    <w:p>
      <w:pPr>
        <w:spacing w:after="180" w:before="70"/>
        <w:jc w:val="center"/>
      </w:pPr>
      <w:r>
        <w:rPr>
          <w:rFonts w:ascii="Times New Roman" w:cs="Times New Roman" w:eastAsia="Times New Roman" w:hAnsi="Times New Roman"/>
          <w:i/>
          <w:iCs/>
          <w:color w:val="555555"/>
          <w:sz w:val="19"/>
          <w:szCs w:val="19"/>
        </w:rPr>
        <w:t>Bảng 9.2 — Ma trận hạn chế và hướng giảm thiểu</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LƯU Ý VỀ TÍNH TRUNG THỰC KHOA HỌC</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Kết quả của nghiên cứu này không ủng hộ khẳng định chung chung "AI vượt trội phân tích kỹ thuật". Nó cho thấy một bức tranh có điều kiện: XGBoost ổn định hơn và kiểm soát rủi ro tốt hơn, vượt một số luật kỹ thuật có ý nghĩa thống kê, nhưng thua luật MA về lợi nhuận tuyệt đối trong một giai đoạn tăng giá, và không vượt được mua-và-giữ.</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Một kết luận có điều kiện, rút ra từ quy trình chặt chẽ và được công bố đầy đủ số phép thử, có giá trị khoa học cao hơn một con số Sharpe ấn tượng mà không ai kiểm chứng được.</w:t>
      </w:r>
    </w:p>
    <w:p>
      <w:pPr>
        <w:spacing w:after="60"/>
      </w:pPr>
    </w:p>
    <w:p>
      <w:r>
        <w:br w:type="page"/>
      </w:r>
    </w:p>
    <w:p>
      <w:pPr>
        <w:pStyle w:val="Heading1"/>
        <w:spacing w:after="200" w:before="240"/>
      </w:pPr>
      <w:r>
        <w:rPr>
          <w:rFonts w:ascii="Times New Roman" w:cs="Times New Roman" w:eastAsia="Times New Roman" w:hAnsi="Times New Roman"/>
          <w:b/>
          <w:bCs/>
          <w:color w:val="1F3864"/>
          <w:sz w:val="30"/>
          <w:szCs w:val="30"/>
        </w:rPr>
        <w:t>CHƯƠNG 10. KẾT LUẬN VÀ HƯỚNG PHÁT TRIỂN</w:t>
      </w:r>
    </w:p>
    <w:p>
      <w:pPr>
        <w:pStyle w:val="Heading2"/>
        <w:spacing w:after="140" w:before="260"/>
      </w:pPr>
      <w:r>
        <w:rPr>
          <w:rFonts w:ascii="Times New Roman" w:cs="Times New Roman" w:eastAsia="Times New Roman" w:hAnsi="Times New Roman"/>
          <w:b/>
          <w:bCs/>
          <w:color w:val="2E5496"/>
          <w:sz w:val="25"/>
          <w:szCs w:val="25"/>
        </w:rPr>
        <w:t>10.1. Kết luận</w:t>
      </w:r>
    </w:p>
    <w:p>
      <w:pPr>
        <w:spacing w:after="140" w:line="300"/>
        <w:jc w:val="both"/>
      </w:pPr>
      <w:r>
        <w:rPr>
          <w:rFonts w:ascii="Times New Roman" w:cs="Times New Roman" w:eastAsia="Times New Roman" w:hAnsi="Times New Roman"/>
          <w:sz w:val="22"/>
          <w:szCs w:val="22"/>
        </w:rPr>
        <w:t>Nghiên cứu xây dựng một quy trình định lượng hoàn chỉnh cho vàng XAU/USD: tải dữ liệu Dukascopy có volume thật, làm sạch theo nguyên tắc không tự tạo giá, hai nhánh dự báo độc lập (bốn luật kỹ thuật và XGBoost walk-forward), và một tầng chiến lược chung với chín cách giao dịch trên công cụ mô phỏng kiểu MetaTrader 5. Thiết kế tách dự báo khỏi lệnh cho phép so sánh các nguồn dự báo trên cùng một mặt bằng.</w:t>
      </w:r>
    </w:p>
    <w:p>
      <w:pPr>
        <w:spacing w:after="140" w:line="300"/>
        <w:jc w:val="both"/>
      </w:pPr>
      <w:r>
        <w:rPr>
          <w:rFonts w:ascii="Times New Roman" w:cs="Times New Roman" w:eastAsia="Times New Roman" w:hAnsi="Times New Roman"/>
          <w:sz w:val="22"/>
          <w:szCs w:val="22"/>
        </w:rPr>
        <w:t>Về RQ1, XGBoost vượt RSI và luật tổng hợp có ý nghĩa thống kê về Sharpe từng năm, ngang MACD, và thua MA về lợi nhuận tuyệt đối. Về RQ2, XGBoost và MA là hai nguồn có năng lực dự báo vượt ngẫu nhiên rõ nhất; RSI và MACD thì không, và đánh ngược chúng lại có lãi. Về RQ3, S03-XGB và S06-TH là hai kịch bản có lãi đều cả sáu năm với mức sụt giảm dưới 5 %. Về RQ4, chiến lược kỳ hạn dài và chiến lược chờ xác nhận khai thác dự báo tốt nhất; đánh vùng trong sideway thua lỗ ở mọi nguồn.</w:t>
      </w:r>
    </w:p>
    <w:p>
      <w:pPr>
        <w:spacing w:after="140" w:line="300"/>
        <w:jc w:val="both"/>
      </w:pPr>
      <w:r>
        <w:rPr>
          <w:rFonts w:ascii="Times New Roman" w:cs="Times New Roman" w:eastAsia="Times New Roman" w:hAnsi="Times New Roman"/>
          <w:sz w:val="22"/>
          <w:szCs w:val="22"/>
        </w:rPr>
        <w:t>Không chiến lược chủ động nào vượt được mua-và-giữ về lợi nhuận trong giai đoạn vàng tăng mạnh 2020 – 2025. Giá trị thực tiễn của các chiến lược tốt nhất nằm ở hồ sơ rủi ro: lợi nhuận nhỏ nhưng ổn định, sụt giảm thấp hơn mua-và-giữ tới hơn mười lần.</w:t>
      </w:r>
    </w:p>
    <w:p>
      <w:pPr>
        <w:pStyle w:val="Heading2"/>
        <w:spacing w:after="140" w:before="260"/>
      </w:pPr>
      <w:r>
        <w:rPr>
          <w:rFonts w:ascii="Times New Roman" w:cs="Times New Roman" w:eastAsia="Times New Roman" w:hAnsi="Times New Roman"/>
          <w:b/>
          <w:bCs/>
          <w:color w:val="2E5496"/>
          <w:sz w:val="25"/>
          <w:szCs w:val="25"/>
        </w:rPr>
        <w:t>10.2. Hướng phát triển</w:t>
      </w:r>
    </w:p>
    <w:p>
      <w:pPr>
        <w:pStyle w:val="ListParagraph"/>
        <w:numPr>
          <w:ilvl w:val="0"/>
          <w:numId w:val="28"/>
        </w:numPr>
        <w:spacing w:after="90" w:line="290"/>
        <w:jc w:val="both"/>
      </w:pPr>
      <w:r>
        <w:rPr>
          <w:rFonts w:ascii="Times New Roman" w:cs="Times New Roman" w:eastAsia="Times New Roman" w:hAnsi="Times New Roman"/>
          <w:sz w:val="22"/>
          <w:szCs w:val="22"/>
        </w:rPr>
        <w:t>Tối ưu siêu tham số XGBoost và ngưỡng (τ, δ) bên trong mỗi lần walk-forward, theo chỉ tiêu giao dịch (Sharpe trên tập kiểm định trong lần) thay vì độ chính xác phân loại.</w:t>
      </w:r>
    </w:p>
    <w:p>
      <w:pPr>
        <w:pStyle w:val="ListParagraph"/>
        <w:numPr>
          <w:ilvl w:val="0"/>
          <w:numId w:val="28"/>
        </w:numPr>
        <w:spacing w:after="90" w:line="290"/>
        <w:jc w:val="both"/>
      </w:pPr>
      <w:r>
        <w:rPr>
          <w:rFonts w:ascii="Times New Roman" w:cs="Times New Roman" w:eastAsia="Times New Roman" w:hAnsi="Times New Roman"/>
          <w:sz w:val="22"/>
          <w:szCs w:val="22"/>
        </w:rPr>
        <w:t>Mở rộng giai đoạn kiểm tra về trước 2020 (các năm 2016 – 2019 đi ngang và giảm) để kiểm tra kết luận trong thị trường không thuận lợi cho chiều mua.</w:t>
      </w:r>
    </w:p>
    <w:p>
      <w:pPr>
        <w:pStyle w:val="ListParagraph"/>
        <w:numPr>
          <w:ilvl w:val="0"/>
          <w:numId w:val="28"/>
        </w:numPr>
        <w:spacing w:after="90" w:line="290"/>
        <w:jc w:val="both"/>
      </w:pPr>
      <w:r>
        <w:rPr>
          <w:rFonts w:ascii="Times New Roman" w:cs="Times New Roman" w:eastAsia="Times New Roman" w:hAnsi="Times New Roman"/>
          <w:sz w:val="22"/>
          <w:szCs w:val="22"/>
        </w:rPr>
        <w:t>Bổ sung khoảng tin cậy bootstrap khối cho Sharpe và Max Drawdown, cùng hiệu chỉnh đa so sánh Benjamini–Hochberg.</w:t>
      </w:r>
    </w:p>
    <w:p>
      <w:pPr>
        <w:pStyle w:val="ListParagraph"/>
        <w:numPr>
          <w:ilvl w:val="0"/>
          <w:numId w:val="28"/>
        </w:numPr>
        <w:spacing w:after="90" w:line="290"/>
        <w:jc w:val="both"/>
      </w:pPr>
      <w:r>
        <w:rPr>
          <w:rFonts w:ascii="Times New Roman" w:cs="Times New Roman" w:eastAsia="Times New Roman" w:hAnsi="Times New Roman"/>
          <w:sz w:val="22"/>
          <w:szCs w:val="22"/>
        </w:rPr>
        <w:t>Giải thích XGBoost bằng giá trị SHAP để biết mô hình dựa vào chỉ báo nào khi báo xu hướng.</w:t>
      </w:r>
    </w:p>
    <w:p>
      <w:pPr>
        <w:pStyle w:val="ListParagraph"/>
        <w:numPr>
          <w:ilvl w:val="0"/>
          <w:numId w:val="28"/>
        </w:numPr>
        <w:spacing w:after="90" w:line="290"/>
        <w:jc w:val="both"/>
      </w:pPr>
      <w:r>
        <w:rPr>
          <w:rFonts w:ascii="Times New Roman" w:cs="Times New Roman" w:eastAsia="Times New Roman" w:hAnsi="Times New Roman"/>
          <w:sz w:val="22"/>
          <w:szCs w:val="22"/>
        </w:rPr>
        <w:t>Chạy lại quy trình trên các khung M30, H4 và so sánh với Random Forest, Bi-LSTM đã có sẵn trong NB2.</w:t>
      </w:r>
    </w:p>
    <w:p>
      <w:pPr>
        <w:pStyle w:val="Heading2"/>
        <w:spacing w:after="140" w:before="260"/>
      </w:pPr>
      <w:r>
        <w:rPr>
          <w:rFonts w:ascii="Times New Roman" w:cs="Times New Roman" w:eastAsia="Times New Roman" w:hAnsi="Times New Roman"/>
          <w:b/>
          <w:bCs/>
          <w:color w:val="2E5496"/>
          <w:sz w:val="25"/>
          <w:szCs w:val="25"/>
        </w:rPr>
        <w:t>10.3. Câu hỏi phản biện dễ gặp và hướng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060"/>
      </w:tblGrid>
      <w:tr>
        <w:trPr>
          <w:tblHeader/>
        </w:trPr>
        <w:tc>
          <w:tcPr>
            <w:tcW w:type="dxa" w:w="33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Câu hỏi có thể gặp</w:t>
            </w:r>
          </w:p>
        </w:tc>
        <w:tc>
          <w:tcPr>
            <w:tcW w:type="dxa" w:w="60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Hướng trả lời</w:t>
            </w:r>
          </w:p>
        </w:tc>
      </w:tr>
      <w:tr>
        <w:tc>
          <w:tcPr>
            <w:tcW w:type="dxa" w:w="3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XGBoost có nhìn thấy dữ liệu tương lai không?</w:t>
            </w:r>
          </w:p>
        </w:tc>
        <w:tc>
          <w:tcPr>
            <w:tcW w:type="dxa" w:w="60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Mỗi năm được dự báo bởi mô hình chỉ học dữ liệu trước năm đó; tham số nhãn dò lại trên tập huấn luyện của từng lần; 24 nến sát ranh giới bị thanh lọc; lệnh vào ở giá mở nến kế tiếp.</w:t>
            </w:r>
          </w:p>
        </w:tc>
      </w:tr>
      <w:tr>
        <w:tc>
          <w:tcPr>
            <w:tcW w:type="dxa" w:w="3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Vì sao không dùng lot cố định cho mọi chiến lược?</w:t>
            </w:r>
          </w:p>
        </w:tc>
        <w:tc>
          <w:tcPr>
            <w:tcW w:type="dxa" w:w="60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Chiến lược có SL rất khác nhau (0,3 % – 3 %). Rủi ro 1 % mỗi lệnh làm mọi lệnh có cùng mức rủi ro, nên so sánh giữa các chiến lược và giữa các năm có ý nghĩa.</w:t>
            </w:r>
          </w:p>
        </w:tc>
      </w:tr>
      <w:tr>
        <w:tc>
          <w:tcPr>
            <w:tcW w:type="dxa" w:w="3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MA lãi nhiều hơn, vậy XGBoost có thật sự tốt hơn?</w:t>
            </w:r>
          </w:p>
        </w:tc>
        <w:tc>
          <w:tcPr>
            <w:tcW w:type="dxa" w:w="60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Tốt hơn về rủi ro và độ ổn định, không phải về lợi nhuận. Lợi nhuận của MA đến gần như hoàn toàn từ chiều mua trong giai đoạn tăng giá, và chiều bán của MA thua lỗ ở mọi chiến lược.</w:t>
            </w:r>
          </w:p>
        </w:tc>
      </w:tr>
      <w:tr>
        <w:tc>
          <w:tcPr>
            <w:tcW w:type="dxa" w:w="33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Kết quả có phải do may mắn?</w:t>
            </w:r>
          </w:p>
        </w:tc>
        <w:tc>
          <w:tcPr>
            <w:tcW w:type="dxa" w:w="60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Mỗi kịch bản được so với 50 lần xáo trộn dự báo; S03-XGB và S06-TH nằm trên phân vị 95. So sánh XGB với từng luật dùng kiểm định Wilcoxon trên 54 cặp (chiến lược, năm), và báo cáo công bố đủ số phép thử.</w:t>
            </w:r>
          </w:p>
        </w:tc>
      </w:tr>
      <w:tr>
        <w:tc>
          <w:tcPr>
            <w:tcW w:type="dxa" w:w="33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20"/>
                <w:szCs w:val="20"/>
              </w:rPr>
              <w:t>Nếu AI không vượt được mua-và-giữ thì đề tài có thất bại không?</w:t>
            </w:r>
          </w:p>
        </w:tc>
        <w:tc>
          <w:tcPr>
            <w:tcW w:type="dxa" w:w="60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20"/>
                <w:szCs w:val="20"/>
              </w:rPr>
              <w:t>Không. Câu hỏi nghiên cứu là kiểm định, không phải chứng minh một kết luận định trước. Một kết luận có điều kiện, được rút ra từ quy trình chặt chẽ, vẫn là đóng góp có giá trị.</w:t>
            </w:r>
          </w:p>
        </w:tc>
      </w:tr>
    </w:tbl>
    <w:p>
      <w:pPr>
        <w:spacing w:after="180" w:before="70"/>
        <w:jc w:val="center"/>
      </w:pPr>
      <w:r>
        <w:rPr>
          <w:rFonts w:ascii="Times New Roman" w:cs="Times New Roman" w:eastAsia="Times New Roman" w:hAnsi="Times New Roman"/>
          <w:i/>
          <w:iCs/>
          <w:color w:val="555555"/>
          <w:sz w:val="19"/>
          <w:szCs w:val="19"/>
        </w:rPr>
        <w:t>Bảng 10.1 — Năm câu hỏi phản biện và hướng trả lời</w:t>
      </w:r>
    </w:p>
    <w:p>
      <w:r>
        <w:br w:type="page"/>
      </w:r>
    </w:p>
    <w:p>
      <w:pPr>
        <w:pStyle w:val="Heading1"/>
        <w:spacing w:after="200" w:before="240"/>
      </w:pPr>
      <w:r>
        <w:rPr>
          <w:rFonts w:ascii="Times New Roman" w:cs="Times New Roman" w:eastAsia="Times New Roman" w:hAnsi="Times New Roman"/>
          <w:b/>
          <w:bCs/>
          <w:color w:val="1F3864"/>
          <w:sz w:val="30"/>
          <w:szCs w:val="30"/>
        </w:rPr>
        <w:t>PHỤ LỤC</w:t>
      </w:r>
    </w:p>
    <w:p>
      <w:pPr>
        <w:pStyle w:val="Heading2"/>
        <w:spacing w:after="140" w:before="260"/>
      </w:pPr>
      <w:r>
        <w:rPr>
          <w:rFonts w:ascii="Times New Roman" w:cs="Times New Roman" w:eastAsia="Times New Roman" w:hAnsi="Times New Roman"/>
          <w:b/>
          <w:bCs/>
          <w:color w:val="2E5496"/>
          <w:sz w:val="25"/>
          <w:szCs w:val="25"/>
        </w:rPr>
        <w:t>Phụ lục A. Danh mục tệp kết quả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4960"/>
      </w:tblGrid>
      <w:tr>
        <w:trPr>
          <w:tblHeader/>
        </w:trPr>
        <w:tc>
          <w:tcPr>
            <w:tcW w:type="dxa" w:w="440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Tệp (thư mục MyDrive/Data_NghienCuu)</w:t>
            </w:r>
          </w:p>
        </w:tc>
        <w:tc>
          <w:tcPr>
            <w:tcW w:type="dxa" w:w="4960"/>
            <w:shd w:fill="1F3864" w:color="auto"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Nội dung</w:t>
            </w:r>
          </w:p>
        </w:tc>
      </w:tr>
      <w:tr>
        <w:tc>
          <w:tcPr>
            <w:tcW w:type="dxa" w:w="4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dukascopy_XAUUSD_&lt;khung&gt;.csv / _sach.csv</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Dữ liệu gốc từ Dukascopy và dữ liệu đã làm sạch</w:t>
            </w:r>
          </w:p>
        </w:tc>
      </w:tr>
      <w:tr>
        <w:tc>
          <w:tcPr>
            <w:tcW w:type="dxa" w:w="4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bao_cao_lam_sach.csv, danh_sach_khoang_trong.csv, kiem_tra_cheo_khung.csv</w:t>
            </w:r>
          </w:p>
        </w:tc>
        <w:tc>
          <w:tcPr>
            <w:tcW w:type="dxa" w:w="49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Báo cáo làm sạch, danh sách khoảng trống, kiểm tra chéo khung</w:t>
            </w:r>
          </w:p>
        </w:tc>
      </w:tr>
      <w:tr>
        <w:tc>
          <w:tcPr>
            <w:tcW w:type="dxa" w:w="4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gold_price_technical_signal.csv</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Chỉ báo và dự báo xu hướng của 4 luật kỹ thuật (NB1)</w:t>
            </w:r>
          </w:p>
        </w:tc>
      </w:tr>
      <w:tr>
        <w:tc>
          <w:tcPr>
            <w:tcW w:type="dxa" w:w="4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gold_model_signals.csv, danh_gia_walk_forward.csv</w:t>
            </w:r>
          </w:p>
        </w:tc>
        <w:tc>
          <w:tcPr>
            <w:tcW w:type="dxa" w:w="49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Dự báo XGBoost walk-forward và đánh giá từng năm (NB2)</w:t>
            </w:r>
          </w:p>
        </w:tc>
      </w:tr>
      <w:tr>
        <w:tc>
          <w:tcPr>
            <w:tcW w:type="dxa" w:w="4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backtest_comparison_report.csv</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45 kịch bản + mua-và-giữ, khoảng 35 chỉ tiêu mỗi kịch bản</w:t>
            </w:r>
          </w:p>
        </w:tc>
      </w:tr>
      <w:tr>
        <w:tc>
          <w:tcPr>
            <w:tcW w:type="dxa" w:w="4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ket_qua_theo_nam.csv</w:t>
            </w:r>
          </w:p>
        </w:tc>
        <w:tc>
          <w:tcPr>
            <w:tcW w:type="dxa" w:w="49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Return, Sharpe, Max DD, số lệnh của từng kịch bản theo năm</w:t>
            </w:r>
          </w:p>
        </w:tc>
      </w:tr>
      <w:tr>
        <w:tc>
          <w:tcPr>
            <w:tcW w:type="dxa" w:w="4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doi_dau_xgb_vs_ky_thuat.csv, so_sanh_ky_thuat_vs_ai.csv</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Đối đầu XGB với từng luật; so sánh theo nhánh</w:t>
            </w:r>
          </w:p>
        </w:tc>
      </w:tr>
      <w:tr>
        <w:tc>
          <w:tcPr>
            <w:tcW w:type="dxa" w:w="440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ket_qua_ngau_nhien.csv</w:t>
            </w:r>
          </w:p>
        </w:tc>
        <w:tc>
          <w:tcPr>
            <w:tcW w:type="dxa" w:w="4960"/>
            <w:shd w:fill="F2F5FA"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Kết quả đối chứng dự báo ngẫu nhiên</w:t>
            </w:r>
          </w:p>
        </w:tc>
      </w:tr>
      <w:tr>
        <w:tc>
          <w:tcPr>
            <w:tcW w:type="dxa" w:w="440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b/>
                <w:bCs/>
                <w:sz w:val="19"/>
                <w:szCs w:val="19"/>
              </w:rPr>
              <w:t>lich_su_lenh_tat_ca.csv, tin_hieu_lenh_NB3.csv</w:t>
            </w:r>
          </w:p>
        </w:tc>
        <w:tc>
          <w:tcPr>
            <w:tcW w:type="dxa" w:w="4960"/>
            <w:shd w:fill="FFFFFF" w:color="auto" w:val="clear"/>
            <w:tcMar>
              <w:top w:type="dxa" w:w="60"/>
              <w:left w:type="dxa" w:w="90"/>
              <w:bottom w:type="dxa" w:w="60"/>
              <w:right w:type="dxa" w:w="90"/>
            </w:tcMar>
          </w:tcPr>
          <w:p>
            <w:pPr>
              <w:spacing w:after="20" w:line="250"/>
            </w:pPr>
            <w:r>
              <w:rPr>
                <w:rFonts w:ascii="Times New Roman" w:cs="Times New Roman" w:eastAsia="Times New Roman" w:hAnsi="Times New Roman"/>
                <w:sz w:val="19"/>
                <w:szCs w:val="19"/>
              </w:rPr>
              <w:t>Mọi lệnh (lenh: 1 = BUY, 0 = SELL) và ý định vào lệnh ở từng nến</w:t>
            </w:r>
          </w:p>
        </w:tc>
      </w:tr>
    </w:tbl>
    <w:p>
      <w:pPr>
        <w:spacing w:after="180" w:before="70"/>
        <w:jc w:val="center"/>
      </w:pPr>
      <w:r>
        <w:rPr>
          <w:rFonts w:ascii="Times New Roman" w:cs="Times New Roman" w:eastAsia="Times New Roman" w:hAnsi="Times New Roman"/>
          <w:i/>
          <w:iCs/>
          <w:color w:val="555555"/>
          <w:sz w:val="19"/>
          <w:szCs w:val="19"/>
        </w:rPr>
        <w:t>Bảng 10.2 — Các tệp đầu ra của quy trình</w:t>
      </w:r>
    </w:p>
    <w:p>
      <w:pPr>
        <w:pStyle w:val="Heading2"/>
        <w:spacing w:after="140" w:before="260"/>
      </w:pPr>
      <w:r>
        <w:rPr>
          <w:rFonts w:ascii="Times New Roman" w:cs="Times New Roman" w:eastAsia="Times New Roman" w:hAnsi="Times New Roman"/>
          <w:b/>
          <w:bCs/>
          <w:color w:val="2E5496"/>
          <w:sz w:val="25"/>
          <w:szCs w:val="25"/>
        </w:rPr>
        <w:t>Phụ lục B. Cách chạy lại toàn bộ quy trình trên Google Colab</w:t>
      </w:r>
    </w:p>
    <w:p>
      <w:pPr>
        <w:pStyle w:val="ListParagraph"/>
        <w:numPr>
          <w:ilvl w:val="0"/>
          <w:numId w:val="29"/>
        </w:numPr>
        <w:spacing w:after="90" w:line="290"/>
        <w:jc w:val="both"/>
      </w:pPr>
      <w:r>
        <w:rPr>
          <w:rFonts w:ascii="Times New Roman" w:cs="Times New Roman" w:eastAsia="Times New Roman" w:hAnsi="Times New Roman"/>
          <w:sz w:val="22"/>
          <w:szCs w:val="22"/>
        </w:rPr>
        <w:t>Tải notebook NCKH_XAUUSD_Toan_bo_quy_trinh.ipynb lên Google Colab; nên bật GPU tại Thời gian chạy → Thay đổi loại thời gian chạy.</w:t>
      </w:r>
    </w:p>
    <w:p>
      <w:pPr>
        <w:pStyle w:val="ListParagraph"/>
        <w:numPr>
          <w:ilvl w:val="0"/>
          <w:numId w:val="29"/>
        </w:numPr>
        <w:spacing w:after="90" w:line="290"/>
        <w:jc w:val="both"/>
      </w:pPr>
      <w:r>
        <w:rPr>
          <w:rFonts w:ascii="Times New Roman" w:cs="Times New Roman" w:eastAsia="Times New Roman" w:hAnsi="Times New Roman"/>
          <w:b/>
          <w:bCs/>
          <w:sz w:val="22"/>
          <w:szCs w:val="22"/>
        </w:rPr>
        <w:t>Ở ô Cấu hình chung:</w:t>
      </w:r>
      <w:r>
        <w:rPr>
          <w:rFonts w:ascii="Times New Roman" w:cs="Times New Roman" w:eastAsia="Times New Roman" w:hAnsi="Times New Roman"/>
          <w:sz w:val="22"/>
          <w:szCs w:val="22"/>
        </w:rPr>
        <w:t xml:space="preserve"> KHUNG_TAI = 'M30 H1 H4 D1', KHUNG_CHAY = 'H1'; giữ BO_QUA_TAI_NEU_DA_CO = True nếu Drive đã có dữ liệu Dukascopy.</w:t>
      </w:r>
    </w:p>
    <w:p>
      <w:pPr>
        <w:pStyle w:val="ListParagraph"/>
        <w:numPr>
          <w:ilvl w:val="0"/>
          <w:numId w:val="29"/>
        </w:numPr>
        <w:spacing w:after="90" w:line="290"/>
        <w:jc w:val="both"/>
      </w:pPr>
      <w:r>
        <w:rPr>
          <w:rFonts w:ascii="Times New Roman" w:cs="Times New Roman" w:eastAsia="Times New Roman" w:hAnsi="Times New Roman"/>
          <w:b/>
          <w:bCs/>
          <w:sz w:val="22"/>
          <w:szCs w:val="22"/>
        </w:rPr>
        <w:t>Bấm Thời gian chạy → Chạy tất cả và cấp quyền Google Drive.</w:t>
      </w:r>
      <w:r>
        <w:rPr>
          <w:rFonts w:ascii="Times New Roman" w:cs="Times New Roman" w:eastAsia="Times New Roman" w:hAnsi="Times New Roman"/>
          <w:sz w:val="22"/>
          <w:szCs w:val="22"/>
        </w:rPr>
        <w:t xml:space="preserve"> Nếu bước tải bị máy chủ từ chối, đợi vài phút rồi chạy lại ô tải — chỉ tải phần còn thiếu.</w:t>
      </w:r>
    </w:p>
    <w:p>
      <w:pPr>
        <w:pStyle w:val="ListParagraph"/>
        <w:numPr>
          <w:ilvl w:val="0"/>
          <w:numId w:val="29"/>
        </w:numPr>
        <w:spacing w:after="90" w:line="290"/>
        <w:jc w:val="both"/>
      </w:pPr>
      <w:r>
        <w:rPr>
          <w:rFonts w:ascii="Times New Roman" w:cs="Times New Roman" w:eastAsia="Times New Roman" w:hAnsi="Times New Roman"/>
          <w:b/>
          <w:bCs/>
          <w:sz w:val="22"/>
          <w:szCs w:val="22"/>
        </w:rPr>
        <w:t>Nếu cần chỉnh:</w:t>
      </w:r>
      <w:r>
        <w:rPr>
          <w:rFonts w:ascii="Times New Roman" w:cs="Times New Roman" w:eastAsia="Times New Roman" w:hAnsi="Times New Roman"/>
          <w:sz w:val="22"/>
          <w:szCs w:val="22"/>
        </w:rPr>
        <w:t xml:space="preserve"> swap theo sàn và rủi ro mỗi lệnh ở Bước 0 của NB3; số lần xáo trộn ngẫu nhiên N_NGAU_NHIEN (mặc định 50, khoảng 10 phút).</w:t>
      </w:r>
    </w:p>
    <w:p>
      <w:pPr>
        <w:pStyle w:val="ListParagraph"/>
        <w:numPr>
          <w:ilvl w:val="0"/>
          <w:numId w:val="29"/>
        </w:numPr>
        <w:spacing w:after="90" w:line="290"/>
        <w:jc w:val="both"/>
      </w:pPr>
      <w:r>
        <w:rPr>
          <w:rFonts w:ascii="Times New Roman" w:cs="Times New Roman" w:eastAsia="Times New Roman" w:hAnsi="Times New Roman"/>
          <w:sz w:val="22"/>
          <w:szCs w:val="22"/>
        </w:rPr>
        <w:t>Sau khi chạy xong, thay các bảng trong báo cáo này bằng số liệu từ các tệp ở Phụ lục A.</w:t>
      </w:r>
    </w:p>
    <w:p>
      <w:pPr>
        <w:pStyle w:val="Heading2"/>
        <w:spacing w:after="140" w:before="260"/>
      </w:pPr>
      <w:r>
        <w:rPr>
          <w:rFonts w:ascii="Times New Roman" w:cs="Times New Roman" w:eastAsia="Times New Roman" w:hAnsi="Times New Roman"/>
          <w:b/>
          <w:bCs/>
          <w:color w:val="2E5496"/>
          <w:sz w:val="25"/>
          <w:szCs w:val="25"/>
        </w:rPr>
        <w:t>Phụ lục C. Ghi chú về tính trung thực của số liệu</w:t>
      </w:r>
    </w:p>
    <w:p>
      <w:pPr>
        <w:pBdr>
          <w:left w:val="single" w:color="2E5496" w:sz="18" w:space="8"/>
        </w:pBdr>
        <w:shd w:fill="EAF1F8" w:color="auto" w:val="clear"/>
        <w:spacing w:after="60" w:before="60"/>
        <w:ind w:left="120" w:right="90"/>
      </w:pPr>
      <w:r>
        <w:rPr>
          <w:rFonts w:ascii="Times New Roman" w:cs="Times New Roman" w:eastAsia="Times New Roman" w:hAnsi="Times New Roman"/>
          <w:b/>
          <w:bCs/>
          <w:color w:val="2E5496"/>
          <w:sz w:val="21"/>
          <w:szCs w:val="21"/>
        </w:rPr>
        <w:t>LƯU Ý CUỐI</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Toàn bộ số liệu trong báo cáo là kết quả đo được thật từ lần chạy quy trình ngày 11/09/2026, không phải giá trị minh họa. Các bảng được sinh tự động từ tệp kết quả để tránh sai sót chép tay.</w:t>
      </w:r>
    </w:p>
    <w:p>
      <w:pPr>
        <w:pBdr>
          <w:left w:val="single" w:color="2E5496" w:sz="18" w:space="8"/>
        </w:pBdr>
        <w:shd w:fill="EAF1F8" w:color="auto" w:val="clear"/>
        <w:spacing w:after="40" w:line="270"/>
        <w:ind w:left="120" w:right="90"/>
        <w:jc w:val="both"/>
      </w:pPr>
      <w:r>
        <w:rPr>
          <w:rFonts w:ascii="Times New Roman" w:cs="Times New Roman" w:eastAsia="Times New Roman" w:hAnsi="Times New Roman"/>
          <w:sz w:val="22"/>
          <w:szCs w:val="22"/>
        </w:rPr>
        <w:t>Khi chạy lại với dữ liệu mới, mọi con số phải được cập nhật theo kết quả mới — kể cả khi kết quả đó làm yếu hoặc bác bỏ các kết luận hiện tại. Điều chỉnh thí nghiệm cho khớp kỳ vọng là vi phạm liêm chính học thuật, và là con đường nhanh nhất dẫn tới một chiến lược tốt trên giấy nhưng thất bại khi giao dịch thật.</w:t>
      </w:r>
    </w:p>
    <w:p>
      <w:pPr>
        <w:spacing w:after="60"/>
      </w:pPr>
    </w:p>
    <w:sectPr>
      <w:headerReference w:type="default" r:id="rId7"/>
      <w:footerReference w:type="default" r:id="rId8"/>
      <w:pgSz w:w="11906" w:h="16838" w:orient="portrait"/>
      <w:pgMar w:top="1200" w:right="115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6C8" w:sz="4" w:space="4"/>
      </w:pBdr>
      <w:spacing w:after="60"/>
      <w:jc w:val="right"/>
    </w:pPr>
    <w:r>
      <w:rPr>
        <w:rFonts w:ascii="Times New Roman" w:cs="Times New Roman" w:eastAsia="Times New Roman" w:hAnsi="Times New Roman"/>
        <w:i/>
        <w:iCs/>
        <w:color w:val="666666"/>
        <w:sz w:val="17"/>
        <w:szCs w:val="17"/>
      </w:rPr>
      <w:t>Nghiên cứu định lượng giao dịch vàng XAU/USD — Phân tích kỹ thuật và XGBoost, 2015–2025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định lượng giao dịch vàng XAU/USD</dc:title>
  <dc:creator>Nhóm nghiên cứu định lượng</dc:creator>
  <cp:lastModifiedBy>Un-named</cp:lastModifiedBy>
  <cp:revision>1</cp:revision>
  <dcterms:created xsi:type="dcterms:W3CDTF">2026-08-22T03:55:03.721Z</dcterms:created>
  <dcterms:modified xsi:type="dcterms:W3CDTF">2026-08-22T03:55:03.722Z</dcterms:modified>
</cp:coreProperties>
</file>

<file path=docProps/custom.xml><?xml version="1.0" encoding="utf-8"?>
<Properties xmlns="http://schemas.openxmlformats.org/officeDocument/2006/custom-properties" xmlns:vt="http://schemas.openxmlformats.org/officeDocument/2006/docPropsVTypes"/>
</file>