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Style w:val="InternetLink"/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Proposed_Solution"/>
      <w:bookmarkStart w:id="3" w:name="_Customer_Requirement_Specifica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Requirements_Specification"/>
      <w:bookmarkStart w:id="5" w:name="_Functional_Requirement_Specificatio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18"/>
        <w:gridCol w:w="4249"/>
        <w:gridCol w:w="3709"/>
      </w:tblGrid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0" distL="0" distR="0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0" distL="0" distR="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0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0" distL="0" distR="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0" distL="0" distR="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-73025</wp:posOffset>
            </wp:positionH>
            <wp:positionV relativeFrom="paragraph">
              <wp:posOffset>47625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-229870</wp:posOffset>
            </wp:positionH>
            <wp:positionV relativeFrom="paragraph">
              <wp:posOffset>57150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  <w:t xml:space="preserve">10. Database </w:t>
      </w:r>
      <w:r>
        <w:rPr/>
        <w:t>Relationship</w:t>
      </w:r>
      <w:r>
        <w:rPr/>
        <w:t xml:space="preserve"> Diagram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9685" cy="6266815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11. </w:t>
      </w:r>
      <w:r>
        <w:rPr/>
        <w:t>Table Definition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Heading1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3" w:type="dxa"/>
          <w:bottom w:w="0" w:type="dxa"/>
          <w:right w:w="58" w:type="dxa"/>
        </w:tblCellMar>
      </w:tblPr>
      <w:tblGrid>
        <w:gridCol w:w="900"/>
        <w:gridCol w:w="1815"/>
        <w:gridCol w:w="900"/>
        <w:gridCol w:w="810"/>
        <w:gridCol w:w="690"/>
        <w:gridCol w:w="855"/>
        <w:gridCol w:w="1350"/>
        <w:gridCol w:w="3059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Constraint:</w:t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W w:w="9660" w:type="dxa"/>
        <w:jc w:val="left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30"/>
        <w:gridCol w:w="2400"/>
        <w:gridCol w:w="2415"/>
        <w:gridCol w:w="2415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Role ID cannot be RoleID of “Admin” (the system has only 1 administrator)</w:t>
            </w:r>
          </w:p>
          <w:p>
            <w:pPr>
              <w:pStyle w:val="Normal"/>
              <w:jc w:val="center"/>
              <w:rPr/>
            </w:pPr>
            <w:r>
              <w:rPr/>
              <w:t>- Email must be in e-mail’s form (</w:t>
            </w:r>
            <w:hyperlink r:id="rId48">
              <w:r>
                <w:rPr>
                  <w:rStyle w:val="InternetLink"/>
                </w:rPr>
                <w:t>something@something</w:t>
              </w:r>
            </w:hyperlink>
            <w:hyperlink r:id="rId49">
              <w:r>
                <w:rPr/>
                <w:t>)</w:t>
              </w:r>
            </w:hyperlink>
          </w:p>
          <w:p>
            <w:pPr>
              <w:pStyle w:val="Normal"/>
              <w:jc w:val="center"/>
              <w:rPr/>
            </w:pPr>
            <w:r>
              <w:rPr/>
              <w:t xml:space="preserve">- </w:t>
            </w:r>
            <w:r>
              <w:rPr/>
              <w:t>Phone must be string of numeric and have length at least 9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UserID, Username</w:t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11.1. </w:t>
      </w:r>
      <w:r>
        <w:rPr>
          <w:i/>
          <w:iCs/>
          <w:sz w:val="22"/>
          <w:szCs w:val="22"/>
        </w:rPr>
        <w:t>Article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3" w:type="dxa"/>
          <w:bottom w:w="0" w:type="dxa"/>
          <w:right w:w="58" w:type="dxa"/>
        </w:tblCellMar>
      </w:tblPr>
      <w:tblGrid>
        <w:gridCol w:w="900"/>
        <w:gridCol w:w="1815"/>
        <w:gridCol w:w="900"/>
        <w:gridCol w:w="810"/>
        <w:gridCol w:w="690"/>
        <w:gridCol w:w="855"/>
        <w:gridCol w:w="1350"/>
        <w:gridCol w:w="3059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</w:t>
            </w:r>
            <w:r>
              <w:rPr>
                <w:rFonts w:cs="Tahoma"/>
              </w:rPr>
              <w:t>’s ID in database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article: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rPr>
          <w:trHeight w:val="356" w:hRule="atLeast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Constraint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60" w:type="dxa"/>
        <w:jc w:val="left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30"/>
        <w:gridCol w:w="2400"/>
        <w:gridCol w:w="2415"/>
        <w:gridCol w:w="2415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ArticleID, CreatorID, CreatedTime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9" w:type="dxa"/>
          <w:bottom w:w="0" w:type="dxa"/>
          <w:right w:w="29" w:type="dxa"/>
        </w:tblCellMar>
      </w:tblPr>
      <w:tblGrid>
        <w:gridCol w:w="659"/>
        <w:gridCol w:w="2068"/>
        <w:gridCol w:w="1238"/>
        <w:gridCol w:w="1170"/>
        <w:gridCol w:w="901"/>
        <w:gridCol w:w="898"/>
        <w:gridCol w:w="1015"/>
        <w:gridCol w:w="1505"/>
        <w:gridCol w:w="781"/>
      </w:tblGrid>
      <w:tr>
        <w:trPr/>
        <w:tc>
          <w:tcPr>
            <w:tcW w:w="27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50"/>
      <w:footerReference w:type="default" r:id="rId51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</w:instrText>
    </w:r>
    <w:r>
      <w:fldChar w:fldCharType="separate"/>
    </w:r>
    <w:r>
      <w:t>49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</w:instrText>
    </w:r>
    <w:r>
      <w:fldChar w:fldCharType="separate"/>
    </w:r>
    <w:r>
      <w:t>49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ind w:left="1080" w:hanging="360"/>
      </w:pPr>
    </w:lvl>
    <w:lvl w:ilvl="2">
      <w:start w:val="0"/>
      <w:numFmt w:val="none"/>
      <w:suff w:val="nothing"/>
      <w:lvlText w:val=""/>
      <w:lvlJc w:val="left"/>
      <w:pPr>
        <w:ind w:left="1440" w:hanging="360"/>
      </w:pPr>
    </w:lvl>
    <w:lvl w:ilvl="3">
      <w:start w:val="0"/>
      <w:numFmt w:val="none"/>
      <w:suff w:val="nothing"/>
      <w:lvlText w:val=""/>
      <w:lvlJc w:val="left"/>
      <w:pPr>
        <w:ind w:left="1800" w:hanging="360"/>
      </w:pPr>
    </w:lvl>
    <w:lvl w:ilvl="4">
      <w:start w:val="0"/>
      <w:numFmt w:val="none"/>
      <w:suff w:val="nothing"/>
      <w:lvlText w:val=""/>
      <w:lvlJc w:val="left"/>
      <w:pPr>
        <w:ind w:left="2160" w:hanging="360"/>
      </w:pPr>
    </w:lvl>
    <w:lvl w:ilvl="5">
      <w:start w:val="0"/>
      <w:numFmt w:val="none"/>
      <w:suff w:val="nothing"/>
      <w:lvlText w:val=""/>
      <w:lvlJc w:val="left"/>
      <w:pPr>
        <w:ind w:left="2520" w:hanging="360"/>
      </w:pPr>
    </w:lvl>
    <w:lvl w:ilvl="6">
      <w:start w:val="0"/>
      <w:numFmt w:val="none"/>
      <w:suff w:val="nothing"/>
      <w:lvlText w:val=""/>
      <w:lvlJc w:val="left"/>
      <w:pPr>
        <w:ind w:left="2880" w:hanging="360"/>
      </w:pPr>
    </w:lvl>
    <w:lvl w:ilvl="7">
      <w:start w:val="0"/>
      <w:numFmt w:val="none"/>
      <w:suff w:val="nothing"/>
      <w:lvlText w:val=""/>
      <w:lvlJc w:val="left"/>
      <w:pPr>
        <w:ind w:left="3240" w:hanging="360"/>
      </w:pPr>
    </w:lvl>
    <w:lvl w:ilvl="8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sz w:val="13"/>
    </w:rPr>
  </w:style>
  <w:style w:type="character" w:styleId="ListLabel20">
    <w:name w:val="ListLabel 20"/>
    <w:qFormat/>
    <w:rPr>
      <w:rFonts w:cs="Wingdings"/>
      <w:sz w:val="13"/>
    </w:rPr>
  </w:style>
  <w:style w:type="character" w:styleId="ListLabel21">
    <w:name w:val="ListLabel 21"/>
    <w:qFormat/>
    <w:rPr>
      <w:rFonts w:cs="Wingdings"/>
      <w:sz w:val="13"/>
    </w:rPr>
  </w:style>
  <w:style w:type="character" w:styleId="ListLabel22">
    <w:name w:val="ListLabel 22"/>
    <w:qFormat/>
    <w:rPr>
      <w:rFonts w:cs="Wingdings"/>
      <w:sz w:val="13"/>
    </w:rPr>
  </w:style>
  <w:style w:type="character" w:styleId="ListLabel23">
    <w:name w:val="ListLabel 23"/>
    <w:qFormat/>
    <w:rPr>
      <w:rFonts w:cs="Wingdings"/>
      <w:sz w:val="13"/>
    </w:rPr>
  </w:style>
  <w:style w:type="character" w:styleId="ListLabel24">
    <w:name w:val="ListLabel 24"/>
    <w:qFormat/>
    <w:rPr>
      <w:rFonts w:cs="Wingdings"/>
      <w:sz w:val="13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13"/>
    </w:rPr>
  </w:style>
  <w:style w:type="character" w:styleId="ListLabel35">
    <w:name w:val="ListLabel 35"/>
    <w:qFormat/>
    <w:rPr>
      <w:rFonts w:cs="Wingdings"/>
      <w:sz w:val="13"/>
    </w:rPr>
  </w:style>
  <w:style w:type="character" w:styleId="ListLabel36">
    <w:name w:val="ListLabel 36"/>
    <w:qFormat/>
    <w:rPr>
      <w:rFonts w:cs="Wingdings"/>
      <w:sz w:val="13"/>
    </w:rPr>
  </w:style>
  <w:style w:type="character" w:styleId="ListLabel37">
    <w:name w:val="ListLabel 37"/>
    <w:qFormat/>
    <w:rPr>
      <w:rFonts w:cs="Wingdings"/>
      <w:b/>
      <w:sz w:val="24"/>
    </w:rPr>
  </w:style>
  <w:style w:type="character" w:styleId="ListLabel38">
    <w:name w:val="ListLabel 38"/>
    <w:qFormat/>
    <w:rPr>
      <w:rFonts w:cs="Wingdings"/>
      <w:b/>
      <w:sz w:val="24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hyperlink" Target="mailto:something@something" TargetMode="External"/><Relationship Id="rId49" Type="http://schemas.openxmlformats.org/officeDocument/2006/relationships/hyperlink" Target="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glossaryDocument" Target="glossary/document.xml"/><Relationship Id="rId57" Type="http://schemas.openxmlformats.org/officeDocument/2006/relationships/customXml" Target="../customXml/item1.xml"/><Relationship Id="rId5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LibreOffice/5.4.1.2$Windows_x86 LibreOffice_project/ea7cb86e6eeb2bf3a5af73a8f7777ac570321527</Application>
  <Pages>49</Pages>
  <Words>7040</Words>
  <Characters>38660</Characters>
  <CharactersWithSpaces>43912</CharactersWithSpaces>
  <Paragraphs>1781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2017-09-28T23:01:19Z</dcterms:modified>
  <cp:revision>743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