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before="800"/>
        <w:jc w:val="center"/>
      </w:pPr>
      <w:r>
        <w:rPr>
          <w:b/>
          <w:bCs/>
          <w:color w:val="0F2A4A"/>
          <w:sz w:val="30"/>
          <w:szCs w:val="30"/>
        </w:rPr>
        <w:t xml:space="preserve">ĐẶC TẢ KIẾN TRÚC HỆ THỐNG</w:t>
      </w:r>
    </w:p>
    <w:p>
      <w:pPr>
        <w:spacing w:after="60"/>
        <w:jc w:val="center"/>
      </w:pPr>
      <w:r>
        <w:rPr>
          <w:b/>
          <w:bCs/>
          <w:color w:val="0F2A4A"/>
          <w:sz w:val="44"/>
          <w:szCs w:val="44"/>
        </w:rPr>
        <w:t xml:space="preserve">VYBE TRADE — MVP &amp; LỘ TRÌNH SCALE-UP</w:t>
      </w:r>
    </w:p>
    <w:p>
      <w:pPr>
        <w:spacing w:after="400"/>
        <w:jc w:val="center"/>
      </w:pPr>
      <w:r>
        <w:rPr>
          <w:i/>
          <w:iCs/>
          <w:color w:val="5A6472"/>
          <w:sz w:val="22"/>
          <w:szCs w:val="22"/>
        </w:rPr>
        <w:t xml:space="preserve">Trust Layer cho thương mại B2B xuyên biên giới — Đại học Duy Tân × DFL24</w:t>
      </w:r>
    </w:p>
    <w:p>
      <w:pPr>
        <w:spacing w:after="40"/>
        <w:jc w:val="center"/>
      </w:pPr>
      <w:r>
        <w:rPr>
          <w:b/>
          <w:bCs/>
          <w:color w:val="0E7D76"/>
          <w:sz w:val="22"/>
          <w:szCs w:val="22"/>
        </w:rPr>
        <w:t xml:space="preserve">Software Architecture Specification (SAS)</w:t>
      </w:r>
    </w:p>
    <w:p>
      <w:pPr>
        <w:spacing w:after="600"/>
        <w:jc w:val="center"/>
      </w:pPr>
      <w:r>
        <w:rPr>
          <w:color w:val="5A6472"/>
          <w:sz w:val="20"/>
          <w:szCs w:val="20"/>
        </w:rPr>
        <w:t xml:space="preserve">Nền tảng: .NET 8/10 · Blazor Server · DevExpress XAF · SQL Server Temporal Tables</w:t>
      </w:r>
    </w:p>
    <w:p>
      <w:pPr>
        <w:spacing w:after="40"/>
        <w:jc w:val="center"/>
      </w:pPr>
      <w:r>
        <w:rPr>
          <w:color w:val="5A6472"/>
          <w:sz w:val="18"/>
          <w:szCs w:val="18"/>
        </w:rPr>
        <w:t xml:space="preserve">Tài liệu bổ trợ cho: VYBE_Trade_Proposal_FINAL_DaiHocDuyTan.docx</w:t>
      </w:r>
    </w:p>
    <w:p>
      <w:pPr>
        <w:spacing w:after="20"/>
        <w:jc w:val="center"/>
      </w:pPr>
      <w:r>
        <w:rPr>
          <w:color w:val="5A6472"/>
          <w:sz w:val="18"/>
          <w:szCs w:val="18"/>
        </w:rPr>
        <w:t xml:space="preserve">Phạm vi: Đặc tả kiến trúc kỹ thuật chi tiết (Web + App) để build MVP (30/09/2026) và mở rộng sau Launch (10/10/2026)</w:t>
      </w:r>
    </w:p>
    <w:p>
      <w:pPr>
        <w:spacing w:before="800"/>
        <w:jc w:val="center"/>
      </w:pPr>
      <w:r>
        <w:rPr>
          <w:i/>
          <w:iCs/>
          <w:color w:val="5A6472"/>
          <w:sz w:val="18"/>
          <w:szCs w:val="18"/>
        </w:rPr>
        <w:t xml:space="preserve">Soạn bởi: Kiến trúc sư trưởng phần mềm (Chief Software Architect)</w:t>
      </w:r>
    </w:p>
    <w:p>
      <w:pPr>
        <w:spacing w:after="0"/>
        <w:jc w:val="center"/>
      </w:pPr>
      <w:r>
        <w:rPr>
          <w:i/>
          <w:iCs/>
          <w:color w:val="5A6472"/>
          <w:sz w:val="18"/>
          <w:szCs w:val="18"/>
        </w:rPr>
        <w:t xml:space="preserve">Tháng 9/2026 — Bản 1.0</w:t>
      </w:r>
    </w:p>
    <w:p>
      <w:r>
        <w:br w:type="page"/>
      </w:r>
    </w:p>
    <w:p>
      <w:pPr>
        <w:pStyle w:val="Heading1"/>
        <w:pBdr>
          <w:bottom w:val="single" w:color="0F2A4A" w:sz="8" w:space="4"/>
        </w:pBdr>
        <w:spacing w:after="200" w:before="400"/>
      </w:pPr>
      <w:r>
        <w:t xml:space="preserve">0. Bối cảnh &amp; phạm vi tài liệu</w:t>
      </w:r>
    </w:p>
    <w:p>
      <w:pPr>
        <w:spacing w:after="140" w:line="300"/>
      </w:pPr>
      <w:r>
        <w:rPr>
          <w:sz w:val="21"/>
          <w:szCs w:val="21"/>
        </w:rPr>
        <w:t xml:space="preserve">Tài liệu này là đặc tả kiến trúc kỹ thuật (Software Architecture Specification) cho hệ thống VYBE Trade, được xây dựng dựa trên bản đề xuất hợp tác "VYBE_Trade_Proposal_FINAL_DaiHocDuyTan" và phương án nền tảng .NET (Blazor Server, DevExpress XAF, SQL Server Temporal Tables) mà bộ phận kỹ thuật đã thống nhất. Mục tiêu của tài liệu là chuyển hoá các quyết định ở mức đề xuất (proposal-level) thành một đặc tả đủ chi tiết để đội kỹ thuật bắt tay dựng MVP ngay từ Sprint 1 (20/09), đồng thời đảm bảo mọi quyết định thiết kế hôm nay không tạo ra rào cản khi hệ thống cần mở rộng sau Launch (10/10/2026) và tại các cột mốc tăng trưởng tiếp theo.</w:t>
      </w:r>
    </w:p>
    <w:p>
      <w:pPr>
        <w:spacing w:after="140" w:line="300"/>
      </w:pPr>
      <w:r>
        <w:rPr>
          <w:sz w:val="21"/>
          <w:szCs w:val="21"/>
        </w:rPr>
        <w:t xml:space="preserve">Tài liệu bám sát đúng phạm vi P0/P1/P2 đã khoá trong proposal — không mở rộng phạm vi nghiệp vụ, chỉ làm rõ và cụ thể hoá phần "làm như thế nào" (how) ở góc độ kiến trúc phần mềm: ranh giới module, mô hình dữ liệu, luồng xử lý, hợp đồng giao tiếp giữa các thành phần, chiến lược bảo mật, hạ tầng triển khai và — quan trọng nhất theo yêu cầu — đường đi rõ ràng để scale-up mà không phải viết lại hệ thống.</w:t>
      </w:r>
    </w:p>
    <w:p>
      <w:pPr>
        <w:pStyle w:val="Heading3"/>
        <w:spacing w:after="100" w:before="240"/>
      </w:pPr>
      <w:r>
        <w:t xml:space="preserve">Đối tượng đọc</w:t>
      </w:r>
    </w:p>
    <w:p>
      <w:pPr>
        <w:pStyle w:val="ListParagraph"/>
        <w:numPr>
          <w:ilvl w:val="0"/>
          <w:numId w:val="1"/>
        </w:numPr>
        <w:spacing w:after="80"/>
      </w:pPr>
      <w:r>
        <w:rPr>
          <w:sz w:val="21"/>
          <w:szCs w:val="21"/>
        </w:rPr>
        <w:t xml:space="preserve">.NET Backend Engineer, Blazor/Frontend Engineer, DevExpress XAF Engineer — làm theo trực tiếp khi code.</w:t>
      </w:r>
    </w:p>
    <w:p>
      <w:pPr>
        <w:pStyle w:val="ListParagraph"/>
        <w:numPr>
          <w:ilvl w:val="0"/>
          <w:numId w:val="1"/>
        </w:numPr>
        <w:spacing w:after="80"/>
      </w:pPr>
      <w:r>
        <w:rPr>
          <w:sz w:val="21"/>
          <w:szCs w:val="21"/>
        </w:rPr>
        <w:t xml:space="preserve">Project Lead / Business Analyst — đối chiếu kiến trúc với Definition of Done từng luồng.</w:t>
      </w:r>
    </w:p>
    <w:p>
      <w:pPr>
        <w:pStyle w:val="ListParagraph"/>
        <w:numPr>
          <w:ilvl w:val="0"/>
          <w:numId w:val="1"/>
        </w:numPr>
        <w:spacing w:after="80"/>
      </w:pPr>
      <w:r>
        <w:rPr>
          <w:sz w:val="21"/>
          <w:szCs w:val="21"/>
        </w:rPr>
        <w:t xml:space="preserve">Giảng viên hướng dẫn / DFL24 — thẩm định tính khả thi kỹ thuật và khả năng scale-up cam kết trong proposal.</w:t>
      </w:r>
    </w:p>
    <w:p>
      <w:pPr>
        <w:pStyle w:val="Heading3"/>
        <w:spacing w:after="100" w:before="240"/>
      </w:pPr>
      <w:r>
        <w:t xml:space="preserve">Nguyên tắc đọc tài liệu</w:t>
      </w:r>
    </w:p>
    <w:p>
      <w:pPr>
        <w:spacing w:after="140" w:line="300"/>
      </w:pPr>
      <w:r>
        <w:rPr>
          <w:sz w:val="21"/>
          <w:szCs w:val="21"/>
        </w:rPr>
        <w:t xml:space="preserve">Mỗi mục kiến trúc bên dưới đều gắn lại với đúng mức ưu tiên P0/P1/P2 tương ứng trong proposal, để đội build không phải suy diễn "cái này có bắt buộc cho 30/09 không". Những phần thuộc Giai đoạn 2 (sau MVP) được trình bày như một lộ trình thiết kế sẵn ("architecture-ready"), không phải hạng mục phải code trong 10 ngày đầu.</w:t>
      </w:r>
    </w:p>
    <w:p>
      <w:pPr>
        <w:pStyle w:val="Heading1"/>
        <w:pBdr>
          <w:bottom w:val="single" w:color="0F2A4A" w:sz="8" w:space="4"/>
        </w:pBdr>
        <w:spacing w:after="200" w:before="400"/>
      </w:pPr>
      <w:r>
        <w:t xml:space="preserve">1. Nguyên tắc kiến trúc (Architecture Principles)</w:t>
      </w:r>
    </w:p>
    <w:p>
      <w:pPr>
        <w:spacing w:after="140" w:line="300"/>
      </w:pPr>
      <w:r>
        <w:rPr>
          <w:sz w:val="21"/>
          <w:szCs w:val="21"/>
        </w:rPr>
        <w:t xml:space="preserve">Bảy nguyên tắc dưới đây là kim chỉ nam cho mọi quyết định thiết kế chi tiết ở các mục sau — khi có xung đột giữa "làm nhanh cho kịp 30/09" và "làm đúng để scale", nguyên tắc được dùng để phân xử.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30"/>
        <w:gridCol w:w="55"/>
      </w:tblGrid>
      <w:tr>
        <w:tc>
          <w:tcPr>
            <w:tcW w:type="pct" w:w="15%"/>
            <w:shd w:fill="0F2A4A" w:color="auto" w:val="clear"/>
            <w:tcMar>
              <w:top w:type="dxa" w:w="100"/>
              <w:left w:type="dxa" w:w="120"/>
              <w:bottom w:type="dxa" w:w="100"/>
              <w:right w:type="dxa" w:w="120"/>
            </w:tcMar>
            <w:vAlign w:val="center"/>
          </w:tcPr>
          <w:p>
            <w:pPr>
              <w:jc w:val="left"/>
            </w:pPr>
            <w:r>
              <w:rPr>
                <w:b/>
                <w:bCs/>
                <w:color w:val="FFFFFF"/>
                <w:sz w:val="19"/>
                <w:szCs w:val="19"/>
              </w:rPr>
              <w:t xml:space="preserve">#</w:t>
            </w:r>
          </w:p>
        </w:tc>
        <w:tc>
          <w:tcPr>
            <w:tcW w:type="pct" w:w="30%"/>
            <w:shd w:fill="0F2A4A" w:color="auto" w:val="clear"/>
            <w:tcMar>
              <w:top w:type="dxa" w:w="100"/>
              <w:left w:type="dxa" w:w="120"/>
              <w:bottom w:type="dxa" w:w="100"/>
              <w:right w:type="dxa" w:w="120"/>
            </w:tcMar>
            <w:vAlign w:val="center"/>
          </w:tcPr>
          <w:p>
            <w:pPr>
              <w:jc w:val="left"/>
            </w:pPr>
            <w:r>
              <w:rPr>
                <w:b/>
                <w:bCs/>
                <w:color w:val="FFFFFF"/>
                <w:sz w:val="19"/>
                <w:szCs w:val="19"/>
              </w:rPr>
              <w:t xml:space="preserve">Nguyên tắc</w:t>
            </w:r>
          </w:p>
        </w:tc>
        <w:tc>
          <w:tcPr>
            <w:tcW w:type="pct" w:w="55%"/>
            <w:shd w:fill="0F2A4A" w:color="auto" w:val="clear"/>
            <w:tcMar>
              <w:top w:type="dxa" w:w="100"/>
              <w:left w:type="dxa" w:w="120"/>
              <w:bottom w:type="dxa" w:w="100"/>
              <w:right w:type="dxa" w:w="120"/>
            </w:tcMar>
            <w:vAlign w:val="center"/>
          </w:tcPr>
          <w:p>
            <w:pPr>
              <w:jc w:val="left"/>
            </w:pPr>
            <w:r>
              <w:rPr>
                <w:b/>
                <w:bCs/>
                <w:color w:val="FFFFFF"/>
                <w:sz w:val="19"/>
                <w:szCs w:val="19"/>
              </w:rPr>
              <w:t xml:space="preserve">Ý nghĩa thực thi</w:t>
            </w:r>
          </w:p>
        </w:tc>
      </w:tr>
      <w:tr>
        <w:tc>
          <w:tcPr>
            <w:tcW w:type="pct" w:w="1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1</w:t>
            </w:r>
          </w:p>
        </w:tc>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Modular trước, Distributed sau</w:t>
            </w:r>
          </w:p>
        </w:tc>
        <w:tc>
          <w:tcPr>
            <w:tcW w:type="pct" w:w="5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MVP là 1 modular monolith triển khai đơn giản trên 1 VPS. Ranh giới module (bounded context) được thiết kế nghiêm ngặt qua interface ngay từ đầu, để tách thành service độc lập ở Giai đoạn 2 mà không cần refactor domain logic.</w:t>
            </w:r>
          </w:p>
        </w:tc>
      </w:tr>
      <w:tr>
        <w:tc>
          <w:tcPr>
            <w:tcW w:type="pct" w:w="1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2</w:t>
            </w:r>
          </w:p>
        </w:tc>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Evidence trước, Kết luận sau</w:t>
            </w:r>
          </w:p>
        </w:tc>
        <w:tc>
          <w:tcPr>
            <w:tcW w:type="pct" w:w="5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Mọi trạng thái xác minh đều phải truy vết được về bằng chứng gốc (nguồn, thời điểm, người/hệ thống xác minh). Đây là ràng buộc kiến trúc cứng cho mô hình dữ liệu (Mục 4), không chỉ là yêu cầu nghiệp vụ.</w:t>
            </w:r>
          </w:p>
        </w:tc>
      </w:tr>
      <w:tr>
        <w:tc>
          <w:tcPr>
            <w:tcW w:type="pct" w:w="1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3</w:t>
            </w:r>
          </w:p>
        </w:tc>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Human-in-the-loop là bất biến</w:t>
            </w:r>
          </w:p>
        </w:tc>
        <w:tc>
          <w:tcPr>
            <w:tcW w:type="pct" w:w="5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AI Trust Co-pilot không bao giờ có quyền ghi (write) vào VerificationRecord. Ràng buộc này được thực thi ở tầng kiến trúc (quyền ghi tách riêng theo role), không chỉ ở quy trình.</w:t>
            </w:r>
          </w:p>
        </w:tc>
      </w:tr>
      <w:tr>
        <w:tc>
          <w:tcPr>
            <w:tcW w:type="pct" w:w="1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4</w:t>
            </w:r>
          </w:p>
        </w:tc>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Cấu hình thay vì code cứng</w:t>
            </w:r>
          </w:p>
        </w:tc>
        <w:tc>
          <w:tcPr>
            <w:tcW w:type="pct" w:w="5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Market Verification Profile, quy tắc matching theo Tag, và ngưỡng risk score đều là dữ liệu cấu hình (JSON/DB), không phải logic hard-code theo từng quốc gia — điều kiện tiên quyết để mở rộng đa thị trường không viết lại engine.</w:t>
            </w:r>
          </w:p>
        </w:tc>
      </w:tr>
      <w:tr>
        <w:tc>
          <w:tcPr>
            <w:tcW w:type="pct" w:w="1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5</w:t>
            </w:r>
          </w:p>
        </w:tc>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Đồng bộ 1 codebase Web/App</w:t>
            </w:r>
          </w:p>
        </w:tc>
        <w:tc>
          <w:tcPr>
            <w:tcW w:type="pct" w:w="5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Blazor Server (Web/PWA) và .NET MAUI Blazor Hybrid (App di động Giai đoạn 2) dùng chung tầng Razor Components và Domain Service Layer — tối đa hoá tái sử dụng, tối thiểu hoá rủi ro lệch nghiệp vụ giữa 2 nền tảng.</w:t>
            </w:r>
          </w:p>
        </w:tc>
      </w:tr>
      <w:tr>
        <w:tc>
          <w:tcPr>
            <w:tcW w:type="pct" w:w="1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6</w:t>
            </w:r>
          </w:p>
        </w:tc>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Audit bất biến bằng thiết kế</w:t>
            </w:r>
          </w:p>
        </w:tc>
        <w:tc>
          <w:tcPr>
            <w:tcW w:type="pct" w:w="5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SQL Server Temporal Tables đảm bảo không ai — kể cả Admin — sửa được lịch sử, ở tầng database engine chứ không phụ thuộc logic ứng dụng (vốn có thể có bug hoặc bị bypass).</w:t>
            </w:r>
          </w:p>
        </w:tc>
      </w:tr>
      <w:tr>
        <w:tc>
          <w:tcPr>
            <w:tcW w:type="pct" w:w="1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7</w:t>
            </w:r>
          </w:p>
        </w:tc>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Chi phí tương xứng giai đoạn</w:t>
            </w:r>
          </w:p>
        </w:tc>
        <w:tc>
          <w:tcPr>
            <w:tcW w:type="pct" w:w="5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Hạ tầng MVP tối ưu chi phí (~$30–50/tháng) nhưng không đánh đổi khả năng migrate — mọi lựa chọn công nghệ Giai đoạn 1 đều có đường nâng cấp 1-1 sang dịch vụ managed tương ứng ở Azure (Mục 7–8).</w:t>
            </w:r>
          </w:p>
        </w:tc>
      </w:tr>
    </w:tbl>
    <w:p>
      <w:pPr>
        <w:pStyle w:val="Heading1"/>
        <w:pBdr>
          <w:bottom w:val="single" w:color="0F2A4A" w:sz="8" w:space="4"/>
        </w:pBdr>
        <w:spacing w:after="200" w:before="400"/>
      </w:pPr>
      <w:r>
        <w:t xml:space="preserve">2. Kiến trúc tổng thể (mô hình C4)</w:t>
      </w:r>
    </w:p>
    <w:p>
      <w:pPr>
        <w:spacing w:after="140" w:line="300"/>
      </w:pPr>
      <w:r>
        <w:rPr>
          <w:sz w:val="21"/>
          <w:szCs w:val="21"/>
        </w:rPr>
        <w:t xml:space="preserve">Kiến trúc được trình bày theo 3 mức C4 (Context → Container → Component) để mỗi vai trò đọc đúng mức chi tiết cần thiết: DFL24/giảng viên xem Context; Project Lead xem Container; kỹ sư build xem Component.</w:t>
      </w:r>
    </w:p>
    <w:p>
      <w:pPr>
        <w:pStyle w:val="Heading2"/>
        <w:spacing w:after="140" w:before="320"/>
      </w:pPr>
      <w:r>
        <w:t xml:space="preserve">2.1. System Context (C1) — VYBE Trade trong bối cảnh các bên liên quan</w:t>
      </w:r>
    </w:p>
    <w:p>
      <w:pPr>
        <w:spacing w:after="140" w:line="300"/>
      </w:pPr>
      <w:r>
        <w:rPr>
          <w:sz w:val="21"/>
          <w:szCs w:val="21"/>
        </w:rPr>
        <w:t xml:space="preserve">Ở mức cao nhất, VYBE Trade là một hệ thống duy nhất phục vụ 4 nhóm actor (Doanh nghiệp VN, Buyer quốc tế, Provider, VYBE Admin) và giao tiếp với 4 nhóm hệ thống ngoài:</w:t>
      </w:r>
    </w:p>
    <w:p>
      <w:pPr>
        <w:pStyle w:val="ListParagraph"/>
        <w:numPr>
          <w:ilvl w:val="0"/>
          <w:numId w:val="1"/>
        </w:numPr>
        <w:spacing w:after="80"/>
      </w:pPr>
      <w:r>
        <w:rPr>
          <w:sz w:val="21"/>
          <w:szCs w:val="21"/>
        </w:rPr>
        <w:t xml:space="preserve">VN Business Registry — tra cứu MST công khai để xác minh L1 cho doanh nghiệp Việt Nam.</w:t>
      </w:r>
    </w:p>
    <w:p>
      <w:pPr>
        <w:pStyle w:val="ListParagraph"/>
        <w:numPr>
          <w:ilvl w:val="0"/>
          <w:numId w:val="1"/>
        </w:numPr>
        <w:spacing w:after="80"/>
      </w:pPr>
      <w:r>
        <w:rPr>
          <w:sz w:val="21"/>
          <w:szCs w:val="21"/>
        </w:rPr>
        <w:t xml:space="preserve">EU VIES — xác minh VAT/EORI cho buyer châu Âu.</w:t>
      </w:r>
    </w:p>
    <w:p>
      <w:pPr>
        <w:pStyle w:val="ListParagraph"/>
        <w:numPr>
          <w:ilvl w:val="0"/>
          <w:numId w:val="1"/>
        </w:numPr>
        <w:spacing w:after="80"/>
      </w:pPr>
      <w:r>
        <w:rPr>
          <w:sz w:val="21"/>
          <w:szCs w:val="21"/>
        </w:rPr>
        <w:t xml:space="preserve">OCR/LLM API ngoài (Google Document AI, Gemini/Claude) — vận hành AI Trust Co-pilot mà không tự triển khai hạ tầng AI.</w:t>
      </w:r>
    </w:p>
    <w:p>
      <w:pPr>
        <w:pStyle w:val="ListParagraph"/>
        <w:numPr>
          <w:ilvl w:val="0"/>
          <w:numId w:val="1"/>
        </w:numPr>
        <w:spacing w:after="80"/>
      </w:pPr>
      <w:r>
        <w:rPr>
          <w:sz w:val="21"/>
          <w:szCs w:val="21"/>
        </w:rPr>
        <w:t xml:space="preserve">Object Storage ngoài (AWS S3 / Cloudflare R2) — lưu bằng chứng, tách khỏi server ứng dụng.</w:t>
      </w:r>
    </w:p>
    <w:p>
      <w:pPr>
        <w:spacing w:after="200" w:before="100"/>
      </w:pPr>
      <w:r>
        <w:rPr>
          <w:i/>
          <w:iCs/>
          <w:color w:val="5A6472"/>
          <w:sz w:val="19"/>
          <w:szCs w:val="19"/>
        </w:rPr>
        <w:t xml:space="preserve">Ranh giới hệ thống ở Context không thay đổi giữa Giai đoạn 1 và Giai đoạn 2 — chỉ nhà cung cấp cụ thể (VPS → Azure) thay đổi bên trong. Đây là lý do proposal khẳng định "không viết lại nền tảng" khi scale.</w:t>
      </w:r>
    </w:p>
    <w:p>
      <w:pPr>
        <w:pStyle w:val="Heading2"/>
        <w:spacing w:after="140" w:before="320"/>
      </w:pPr>
      <w:r>
        <w:t xml:space="preserve">2.2. Container diagram (C2) — MVP trên nền .NET</w:t>
      </w:r>
    </w:p>
    <w:p>
      <w:pPr>
        <w:spacing w:after="140" w:line="300"/>
      </w:pPr>
      <w:r>
        <w:rPr>
          <w:sz w:val="21"/>
          <w:szCs w:val="21"/>
        </w:rPr>
        <w:t xml:space="preserve">Sơ đồ container gốc trong proposal (Mục 5, hình 3) là điểm neo chính thức của tài liệu này — 7 domain module trong Modular Monolith, 3 tầng dữ liệu, và External Adapter Layer với cơ chế Market Verification Profile. Mục 2.3 và Mục 3 bên dưới mở rộng chi tiết Component-level của đúng sơ đồ này, để đội build có đủ thông tin bắt tay ngay.</w:t>
      </w:r>
    </w:p>
    <w:p>
      <w:pPr>
        <w:pStyle w:val="Heading2"/>
        <w:spacing w:after="140" w:before="320"/>
      </w:pPr>
      <w:r>
        <w:t xml:space="preserve">2.3. Component diagram (C3) — Verification Engine &amp; AI Trust Co-pilot</w:t>
      </w:r>
    </w:p>
    <w:p>
      <w:pPr>
        <w:spacing w:after="140" w:line="300"/>
      </w:pPr>
      <w:r>
        <w:rPr>
          <w:sz w:val="21"/>
          <w:szCs w:val="21"/>
        </w:rPr>
        <w:t xml:space="preserve">Đây là 2 module phức tạp và rủi ro kỹ thuật cao nhất trong MVP (P0 và P1), nên được đặc tả ở mức component. Sơ đồ dưới thể hiện luồng xử lý một hồ sơ bằng chứng từ lúc upload đến lúc Admin ra quyết định cuối cùng:</w:t>
      </w:r>
    </w:p>
    <w:p>
      <w:pPr>
        <w:spacing w:after="60" w:before="200"/>
        <w:jc w:val="center"/>
      </w:pPr>
      <w:r>
        <w:drawing>
          <wp:inline distT="0" distB="0" distL="0" distR="0">
            <wp:extent cx="5905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81500"/>
                    </a:xfrm>
                    <a:prstGeom prst="rect">
                      <a:avLst/>
                    </a:prstGeom>
                  </pic:spPr>
                </pic:pic>
              </a:graphicData>
            </a:graphic>
          </wp:inline>
        </w:drawing>
      </w:r>
    </w:p>
    <w:p>
      <w:pPr>
        <w:spacing w:after="260" w:before="80"/>
        <w:jc w:val="center"/>
      </w:pPr>
      <w:r>
        <w:rPr>
          <w:i/>
          <w:iCs/>
          <w:color w:val="5A6472"/>
          <w:sz w:val="18"/>
          <w:szCs w:val="18"/>
        </w:rPr>
        <w:t xml:space="preserve">Hình A. Component view — Verification Engine &amp; AI Trust Co-pilot, luồng dữ liệu từ Upload đến Audit Trail.</w:t>
      </w:r>
    </w:p>
    <w:p>
      <w:pPr>
        <w:spacing w:after="140" w:line="300"/>
      </w:pPr>
      <w:r>
        <w:rPr>
          <w:sz w:val="21"/>
          <w:szCs w:val="21"/>
        </w:rPr>
        <w:t xml:space="preserve">Điểm thiết kế quan trọng cần lưu ý khi hiện thực hoá sơ đồ này:</w:t>
      </w:r>
    </w:p>
    <w:p>
      <w:pPr>
        <w:pStyle w:val="ListParagraph"/>
        <w:numPr>
          <w:ilvl w:val="0"/>
          <w:numId w:val="1"/>
        </w:numPr>
        <w:spacing w:after="80"/>
      </w:pPr>
      <w:r>
        <w:rPr>
          <w:b/>
          <w:bCs/>
          <w:sz w:val="21"/>
          <w:szCs w:val="21"/>
        </w:rPr>
        <w:t xml:space="preserve">Tách luồng đồng bộ / bất đồng bộ: </w:t>
      </w:r>
      <w:r>
        <w:rPr>
          <w:sz w:val="21"/>
          <w:szCs w:val="21"/>
        </w:rPr>
        <w:t xml:space="preserve">Level Rule Engine (L0–L1) chạy đồng bộ ngay khi submit vì chỉ cần regex + tra cứu public API nhanh. AI Trust Co-pilot (Document Forensics → Cross-source → Anomaly → Risk Scoring) luôn chạy bất đồng bộ qua background job (Hangfire) để không chặn trải nghiệm người dùng và để chịu được độ trễ/độ không ổn định của OCR/LLM API bên ngoài — đúng nguyên tắc P1 fallback trong proposal ("nếu OCR/LLM chưa ổn định, Admin review 100% thủ công, hệ thống vẫn chạy").</w:t>
      </w:r>
    </w:p>
    <w:p>
      <w:pPr>
        <w:pStyle w:val="ListParagraph"/>
        <w:numPr>
          <w:ilvl w:val="0"/>
          <w:numId w:val="1"/>
        </w:numPr>
        <w:spacing w:after="80"/>
      </w:pPr>
      <w:r>
        <w:rPr>
          <w:b/>
          <w:bCs/>
          <w:sz w:val="21"/>
          <w:szCs w:val="21"/>
        </w:rPr>
        <w:t xml:space="preserve">Admin Review Queue là hàng đợi dữ liệu, không phải hàng đợi UI: </w:t>
      </w:r>
      <w:r>
        <w:rPr>
          <w:sz w:val="21"/>
          <w:szCs w:val="21"/>
        </w:rPr>
        <w:t xml:space="preserve">cờ rủi ro (risk flag) là một cột dữ liệu trên hồ sơ, được DevExpress XAF query và sắp xếp — không cần một message queue riêng cho MVP. Điều này giữ đúng nguyên tắc "không phụ thuộc AI phức tạp" của P0 trong khi vẫn tận dụng được kết quả AI khi có.</w:t>
      </w:r>
    </w:p>
    <w:p>
      <w:pPr>
        <w:pStyle w:val="ListParagraph"/>
        <w:numPr>
          <w:ilvl w:val="0"/>
          <w:numId w:val="1"/>
        </w:numPr>
        <w:spacing w:after="80"/>
      </w:pPr>
      <w:r>
        <w:rPr>
          <w:b/>
          <w:bCs/>
          <w:sz w:val="21"/>
          <w:szCs w:val="21"/>
        </w:rPr>
        <w:t xml:space="preserve">Ranh giới ghi dữ liệu: </w:t>
      </w:r>
      <w:r>
        <w:rPr>
          <w:sz w:val="21"/>
          <w:szCs w:val="21"/>
        </w:rPr>
        <w:t xml:space="preserve">chỉ có 2 điểm được phép tạo bản ghi mới trong VerificationRecord (temporal table) — (a) hệ thống tự động cho L0/L1 dựa trên kết quả đối chiếu công khai, và (b) hành động Duyệt/Từ chối của Admin cho L2/L3. AI Trust Co-pilot chỉ ghi vào bảng RiskAssessment (không phải VerificationRecord) — thực thi nguyên tắc kiến trúc #3 ở Mục 1.</w:t>
      </w:r>
    </w:p>
    <w:p>
      <w:pPr>
        <w:pStyle w:val="Heading1"/>
        <w:pBdr>
          <w:bottom w:val="single" w:color="0F2A4A" w:sz="8" w:space="4"/>
        </w:pBdr>
        <w:spacing w:after="200" w:before="400"/>
      </w:pPr>
      <w:r>
        <w:t xml:space="preserve">3. Bounded Contexts &amp; Module Boundaries</w:t>
      </w:r>
    </w:p>
    <w:p>
      <w:pPr>
        <w:spacing w:after="140" w:line="300"/>
      </w:pPr>
      <w:r>
        <w:rPr>
          <w:sz w:val="21"/>
          <w:szCs w:val="21"/>
        </w:rPr>
        <w:t xml:space="preserve">Modular monolith chỉ giữ được lợi ích "dễ tách sau này" nếu ranh giới giữa các module được tôn trọng nghiêm ngặt ngay từ Sprint 1: mỗi module sở hữu dữ liệu riêng, giao tiếp với module khác chỉ qua interface/DTO công khai (không query chéo trực tiếp vào bảng của module khác), và mọi thay đổi trạng thái quan trọng phát ra domain event nội bộ (in-process, qua MediatR) để module khác lắng nghe thay vì gọi thẳng.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
        <w:gridCol w:w="21"/>
        <w:gridCol w:w="21"/>
        <w:gridCol w:w="21"/>
        <w:gridCol w:w="21"/>
      </w:tblGrid>
      <w:tr>
        <w:tc>
          <w:tcPr>
            <w:tcW w:type="pct" w:w="16%"/>
            <w:shd w:fill="0F2A4A" w:color="auto" w:val="clear"/>
            <w:tcMar>
              <w:top w:type="dxa" w:w="100"/>
              <w:left w:type="dxa" w:w="120"/>
              <w:bottom w:type="dxa" w:w="100"/>
              <w:right w:type="dxa" w:w="120"/>
            </w:tcMar>
            <w:vAlign w:val="center"/>
          </w:tcPr>
          <w:p>
            <w:pPr>
              <w:jc w:val="left"/>
            </w:pPr>
            <w:r>
              <w:rPr>
                <w:b/>
                <w:bCs/>
                <w:color w:val="FFFFFF"/>
                <w:sz w:val="19"/>
                <w:szCs w:val="19"/>
              </w:rPr>
              <w:t xml:space="preserve">Module</w:t>
            </w:r>
          </w:p>
        </w:tc>
        <w:tc>
          <w:tcPr>
            <w:tcW w:type="pct" w:w="21%"/>
            <w:shd w:fill="0F2A4A" w:color="auto" w:val="clear"/>
            <w:tcMar>
              <w:top w:type="dxa" w:w="100"/>
              <w:left w:type="dxa" w:w="120"/>
              <w:bottom w:type="dxa" w:w="100"/>
              <w:right w:type="dxa" w:w="120"/>
            </w:tcMar>
            <w:vAlign w:val="center"/>
          </w:tcPr>
          <w:p>
            <w:pPr>
              <w:jc w:val="left"/>
            </w:pPr>
            <w:r>
              <w:rPr>
                <w:b/>
                <w:bCs/>
                <w:color w:val="FFFFFF"/>
                <w:sz w:val="19"/>
                <w:szCs w:val="19"/>
              </w:rPr>
              <w:t xml:space="preserve">Trách nhiệm chính</w:t>
            </w:r>
          </w:p>
        </w:tc>
        <w:tc>
          <w:tcPr>
            <w:tcW w:type="pct" w:w="21%"/>
            <w:shd w:fill="0F2A4A" w:color="auto" w:val="clear"/>
            <w:tcMar>
              <w:top w:type="dxa" w:w="100"/>
              <w:left w:type="dxa" w:w="120"/>
              <w:bottom w:type="dxa" w:w="100"/>
              <w:right w:type="dxa" w:w="120"/>
            </w:tcMar>
            <w:vAlign w:val="center"/>
          </w:tcPr>
          <w:p>
            <w:pPr>
              <w:jc w:val="left"/>
            </w:pPr>
            <w:r>
              <w:rPr>
                <w:b/>
                <w:bCs/>
                <w:color w:val="FFFFFF"/>
                <w:sz w:val="19"/>
                <w:szCs w:val="19"/>
              </w:rPr>
              <w:t xml:space="preserve">Dữ liệu sở hữu</w:t>
            </w:r>
          </w:p>
        </w:tc>
        <w:tc>
          <w:tcPr>
            <w:tcW w:type="pct" w:w="21%"/>
            <w:shd w:fill="0F2A4A" w:color="auto" w:val="clear"/>
            <w:tcMar>
              <w:top w:type="dxa" w:w="100"/>
              <w:left w:type="dxa" w:w="120"/>
              <w:bottom w:type="dxa" w:w="100"/>
              <w:right w:type="dxa" w:w="120"/>
            </w:tcMar>
            <w:vAlign w:val="center"/>
          </w:tcPr>
          <w:p>
            <w:pPr>
              <w:jc w:val="left"/>
            </w:pPr>
            <w:r>
              <w:rPr>
                <w:b/>
                <w:bCs/>
                <w:color w:val="FFFFFF"/>
                <w:sz w:val="19"/>
                <w:szCs w:val="19"/>
              </w:rPr>
              <w:t xml:space="preserve">Phụ thuộc vào</w:t>
            </w:r>
          </w:p>
        </w:tc>
        <w:tc>
          <w:tcPr>
            <w:tcW w:type="pct" w:w="21%"/>
            <w:shd w:fill="0F2A4A" w:color="auto" w:val="clear"/>
            <w:tcMar>
              <w:top w:type="dxa" w:w="100"/>
              <w:left w:type="dxa" w:w="120"/>
              <w:bottom w:type="dxa" w:w="100"/>
              <w:right w:type="dxa" w:w="120"/>
            </w:tcMar>
            <w:vAlign w:val="center"/>
          </w:tcPr>
          <w:p>
            <w:pPr>
              <w:jc w:val="left"/>
            </w:pPr>
            <w:r>
              <w:rPr>
                <w:b/>
                <w:bCs/>
                <w:color w:val="FFFFFF"/>
                <w:sz w:val="19"/>
                <w:szCs w:val="19"/>
              </w:rPr>
              <w:t xml:space="preserve">Ưu tiên</w:t>
            </w:r>
          </w:p>
        </w:tc>
      </w:tr>
      <w:tr>
        <w:tc>
          <w:tcPr>
            <w:tcW w:type="pct" w:w="16%"/>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Identity &amp; Organization</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Đăng ký, đăng nhập, hồ sơ tổ chức, vai trò</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User, Organization, Role, RefreshToken</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 (module nền, không phụ thuộc module khác)</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P0</w:t>
            </w:r>
          </w:p>
        </w:tc>
      </w:tr>
      <w:tr>
        <w:tc>
          <w:tcPr>
            <w:tcW w:type="pct" w:w="16%"/>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Company Profile &amp; Capability</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Hồ sơ doanh nghiệp VN, sản phẩm, Tag khai báo</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CompanyProfile, Product, ProductTag</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Identity &amp; Organization</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P0</w:t>
            </w:r>
          </w:p>
        </w:tc>
      </w:tr>
      <w:tr>
        <w:tc>
          <w:tcPr>
            <w:tcW w:type="pct" w:w="16%"/>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Verification Engine</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Đánh giá cấp độ L0–L3, quản lý Market Verification Profile, tạo Evidence Record</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EvidenceDocument, VerificationRecord (temporal), MarketVerificationProfile</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Company Profile, External Adapters</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P0 (L0–L2) / P1 (L3)</w:t>
            </w:r>
          </w:p>
        </w:tc>
      </w:tr>
      <w:tr>
        <w:tc>
          <w:tcPr>
            <w:tcW w:type="pct" w:w="16%"/>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AI Trust Co-pilot</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OCR, đối chiếu nguồn, phát hiện bất thường, chấm điểm rủi ro giải thích được</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RiskAssessment, OcrExtractionResult</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Verification Engine (đọc), OCR/LLM API ngoài</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P1 (có fallback thủ công)</w:t>
            </w:r>
          </w:p>
        </w:tc>
      </w:tr>
      <w:tr>
        <w:tc>
          <w:tcPr>
            <w:tcW w:type="pct" w:w="16%"/>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Matching &amp; Discovery</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Ranking theo Tag + Trust Level, giải thích lý do phù hợp</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MatchQuery log, MatchResult cache</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Verification Engine (đọc trạng thái Tag)</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P0</w:t>
            </w:r>
          </w:p>
        </w:tc>
      </w:tr>
      <w:tr>
        <w:tc>
          <w:tcPr>
            <w:tcW w:type="pct" w:w="16%"/>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Membership &amp; Entitlement</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Phân biệt quyền lợi Free/Member, đo hành vi chạm giới hạn</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MembershipPlan, UsageCounter, Entitlement</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Identity &amp; Organization</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P0</w:t>
            </w:r>
          </w:p>
        </w:tc>
      </w:tr>
      <w:tr>
        <w:tc>
          <w:tcPr>
            <w:tcW w:type="pct" w:w="16%"/>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Provider &amp; Referral</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Danh bạ Provider, yêu cầu giới thiệu</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ProviderProfile, ReferralRequest</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Identity &amp; Organization, Matching</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P1</w:t>
            </w:r>
          </w:p>
        </w:tc>
      </w:tr>
      <w:tr>
        <w:tc>
          <w:tcPr>
            <w:tcW w:type="pct" w:w="16%"/>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RFQ / Commercial Action</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Gửi yêu cầu kết nối, theo dõi trạng thái</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RfqRequest, RfqStatusHistory</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Company Profile, Matching</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P0</w:t>
            </w:r>
          </w:p>
        </w:tc>
      </w:tr>
      <w:tr>
        <w:tc>
          <w:tcPr>
            <w:tcW w:type="pct" w:w="16%"/>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Admin, Audit &amp; Evidence Trail</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Review Queue, quyết định duyệt/từ chối, log bất biến</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AuditLogEntry (temporal), toàn bộ history VerificationRecord</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Đọc mọi module, không bị module nào phụ thuộc ngược</w:t>
            </w:r>
          </w:p>
        </w:tc>
        <w:tc>
          <w:tcPr>
            <w:tcW w:type="pct" w:w="21%"/>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P0</w:t>
            </w:r>
          </w:p>
        </w:tc>
      </w:tr>
    </w:tbl>
    <w:p>
      <w:pPr>
        <w:spacing w:after="200" w:before="100"/>
      </w:pPr>
      <w:r>
        <w:rPr>
          <w:i/>
          <w:iCs/>
          <w:color w:val="5A6472"/>
          <w:sz w:val="19"/>
          <w:szCs w:val="19"/>
        </w:rPr>
        <w:t xml:space="preserve">Cột "Phụ thuộc vào" chỉ liệt kê phụ thuộc đọc/ghi nghiệp vụ trực tiếp. Mọi module đều phụ thuộc gián tiếp Identity &amp; Organization để xác thực/phân quyền qua middleware chung (Mục 6), không tính là coupling nghiệp vụ.</w:t>
      </w:r>
    </w:p>
    <w:p>
      <w:pPr>
        <w:spacing w:after="140" w:line="300"/>
      </w:pPr>
      <w:r>
        <w:rPr>
          <w:sz w:val="21"/>
          <w:szCs w:val="21"/>
        </w:rPr>
        <w:t xml:space="preserve">Quy ước giao tiếp nội bộ (thực thi bằng MediatR + interface trong .NET, chuẩn bị sẵn cho REST/gRPC ở Giai đoạn 2):</w:t>
      </w:r>
    </w:p>
    <w:p>
      <w:pPr>
        <w:pStyle w:val="ListParagraph"/>
        <w:numPr>
          <w:ilvl w:val="0"/>
          <w:numId w:val="1"/>
        </w:numPr>
        <w:spacing w:after="80"/>
      </w:pPr>
      <w:r>
        <w:rPr>
          <w:sz w:val="21"/>
          <w:szCs w:val="21"/>
        </w:rPr>
        <w:t xml:space="preserve">Command/Query: mỗi module public ra IVerificationQueries, IMatchingQueries… — module khác chỉ gọi qua interface này, không inject DbContext của module khác.</w:t>
      </w:r>
    </w:p>
    <w:p>
      <w:pPr>
        <w:pStyle w:val="ListParagraph"/>
        <w:numPr>
          <w:ilvl w:val="0"/>
          <w:numId w:val="1"/>
        </w:numPr>
        <w:spacing w:after="80"/>
      </w:pPr>
      <w:r>
        <w:rPr>
          <w:sz w:val="21"/>
          <w:szCs w:val="21"/>
        </w:rPr>
        <w:t xml:space="preserve">Domain Event: khi VerificationRecord đổi cấp độ, Verification Engine publish sự kiện VerificationLevelChanged(orgId, newLevel, evidenceRecordId) qua MediatR — Matching module subscribe để cập nhật lại Trust Level trên Tag, Notification job subscribe để nhắc buyer liên quan.</w:t>
      </w:r>
    </w:p>
    <w:p>
      <w:pPr>
        <w:pStyle w:val="ListParagraph"/>
        <w:numPr>
          <w:ilvl w:val="0"/>
          <w:numId w:val="1"/>
        </w:numPr>
        <w:spacing w:after="80"/>
      </w:pPr>
      <w:r>
        <w:rPr>
          <w:sz w:val="21"/>
          <w:szCs w:val="21"/>
        </w:rPr>
        <w:t xml:space="preserve">Không có transaction phân tán ở MVP: mỗi thao tác ghi quan trọng nằm trong 1 DbContext transaction của đúng 1 module; hệ quả liên module (vd. cập nhật Tag sau khi duyệt) xử lý qua event bất đồng bộ trong tiến trình (eventual consistency trong vài trăm ms) — chấp nhận được ở quy mô MVP, và là đúng mô hình sẽ dùng khi có message bus thật ở Giai đoạn 2.</w:t>
      </w:r>
    </w:p>
    <w:p>
      <w:pPr>
        <w:pStyle w:val="Heading1"/>
        <w:pBdr>
          <w:bottom w:val="single" w:color="0F2A4A" w:sz="8" w:space="4"/>
        </w:pBdr>
        <w:spacing w:after="200" w:before="400"/>
      </w:pPr>
      <w:r>
        <w:t xml:space="preserve">4. Kiến trúc dữ liệu (Data Architecture)</w:t>
      </w:r>
    </w:p>
    <w:p>
      <w:pPr>
        <w:pStyle w:val="Heading2"/>
        <w:spacing w:after="140" w:before="320"/>
      </w:pPr>
      <w:r>
        <w:t xml:space="preserve">4.1. Mô hình thực thể cốt lõi (Core Domain Model)</w:t>
      </w:r>
    </w:p>
    <w:p>
      <w:pPr>
        <w:spacing w:after="140" w:line="300"/>
      </w:pPr>
      <w:r>
        <w:rPr>
          <w:sz w:val="21"/>
          <w:szCs w:val="21"/>
        </w:rPr>
        <w:t xml:space="preserve">Mô hình dữ liệu đi theo đúng ý tưởng "Entity – Tag – Evidence" nêu ở Mục 5 của proposal, cụ thể hoá thành các bảng chính sau. Đây là danh sách entity tối thiểu để chạy đủ 4 luồng Definition of Done trong P0: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
        <w:gridCol w:w="42"/>
        <w:gridCol w:w="38"/>
      </w:tblGrid>
      <w:tr>
        <w:tc>
          <w:tcPr>
            <w:tcW w:type="pct" w:w="20%"/>
            <w:shd w:fill="0F2A4A" w:color="auto" w:val="clear"/>
            <w:tcMar>
              <w:top w:type="dxa" w:w="100"/>
              <w:left w:type="dxa" w:w="120"/>
              <w:bottom w:type="dxa" w:w="100"/>
              <w:right w:type="dxa" w:w="120"/>
            </w:tcMar>
            <w:vAlign w:val="center"/>
          </w:tcPr>
          <w:p>
            <w:pPr>
              <w:jc w:val="left"/>
            </w:pPr>
            <w:r>
              <w:rPr>
                <w:b/>
                <w:bCs/>
                <w:color w:val="FFFFFF"/>
                <w:sz w:val="19"/>
                <w:szCs w:val="19"/>
              </w:rPr>
              <w:t xml:space="preserve">Entity</w:t>
            </w:r>
          </w:p>
        </w:tc>
        <w:tc>
          <w:tcPr>
            <w:tcW w:type="pct" w:w="42%"/>
            <w:shd w:fill="0F2A4A" w:color="auto" w:val="clear"/>
            <w:tcMar>
              <w:top w:type="dxa" w:w="100"/>
              <w:left w:type="dxa" w:w="120"/>
              <w:bottom w:type="dxa" w:w="100"/>
              <w:right w:type="dxa" w:w="120"/>
            </w:tcMar>
            <w:vAlign w:val="center"/>
          </w:tcPr>
          <w:p>
            <w:pPr>
              <w:jc w:val="left"/>
            </w:pPr>
            <w:r>
              <w:rPr>
                <w:b/>
                <w:bCs/>
                <w:color w:val="FFFFFF"/>
                <w:sz w:val="19"/>
                <w:szCs w:val="19"/>
              </w:rPr>
              <w:t xml:space="preserve">Trường chính</w:t>
            </w:r>
          </w:p>
        </w:tc>
        <w:tc>
          <w:tcPr>
            <w:tcW w:type="pct" w:w="38%"/>
            <w:shd w:fill="0F2A4A" w:color="auto" w:val="clear"/>
            <w:tcMar>
              <w:top w:type="dxa" w:w="100"/>
              <w:left w:type="dxa" w:w="120"/>
              <w:bottom w:type="dxa" w:w="100"/>
              <w:right w:type="dxa" w:w="120"/>
            </w:tcMar>
            <w:vAlign w:val="center"/>
          </w:tcPr>
          <w:p>
            <w:pPr>
              <w:jc w:val="left"/>
            </w:pPr>
            <w:r>
              <w:rPr>
                <w:b/>
                <w:bCs/>
                <w:color w:val="FFFFFF"/>
                <w:sz w:val="19"/>
                <w:szCs w:val="19"/>
              </w:rPr>
              <w:t xml:space="preserve">Ghi chú thiết kế</w:t>
            </w:r>
          </w:p>
        </w:tc>
      </w:tr>
      <w:tr>
        <w:tc>
          <w:tcPr>
            <w:tcW w:type="pct" w:w="2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Organization</w:t>
            </w:r>
          </w:p>
        </w:tc>
        <w:tc>
          <w:tcPr>
            <w:tcW w:type="pct" w:w="4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 Type (Company/Buyer/Provider), LegalName, Country, CreatedAt</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1 bảng gốc dùng chung cho cả 3 loại actor — tránh 3 bảng riêng biệt gây trùng lặp logic Identity.</w:t>
            </w:r>
          </w:p>
        </w:tc>
      </w:tr>
      <w:tr>
        <w:tc>
          <w:tcPr>
            <w:tcW w:type="pct" w:w="2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User</w:t>
            </w:r>
          </w:p>
        </w:tc>
        <w:tc>
          <w:tcPr>
            <w:tcW w:type="pct" w:w="4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 OrganizationId, Email, Role, IsEmailVerified</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RBAC theo 4 vai trò: Company, Buyer, Provider, Admin (Mục 6).</w:t>
            </w:r>
          </w:p>
        </w:tc>
      </w:tr>
      <w:tr>
        <w:tc>
          <w:tcPr>
            <w:tcW w:type="pct" w:w="2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Product</w:t>
            </w:r>
          </w:p>
        </w:tc>
        <w:tc>
          <w:tcPr>
            <w:tcW w:type="pct" w:w="4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 OrganizationId, Name, Description, CategoryTag</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Thuộc Company Profile &amp; Capability module.</w:t>
            </w:r>
          </w:p>
        </w:tc>
      </w:tr>
      <w:tr>
        <w:tc>
          <w:tcPr>
            <w:tcW w:type="pct" w:w="2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Tag</w:t>
            </w:r>
          </w:p>
        </w:tc>
        <w:tc>
          <w:tcPr>
            <w:tcW w:type="pct" w:w="4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 Name, SourceEvidenceRecordId (nullable), InheritedTrustLevel</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Không tự mang giá trị xác thực — trường InheritedTrustLevel được cập nhật (denormalized, có kiểm soát) mỗi khi Evidence liên quan đổi trạng thái, phục vụ query matching nhanh không cần join phức tạp.</w:t>
            </w:r>
          </w:p>
        </w:tc>
      </w:tr>
      <w:tr>
        <w:tc>
          <w:tcPr>
            <w:tcW w:type="pct" w:w="2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EvidenceDocument</w:t>
            </w:r>
          </w:p>
        </w:tc>
        <w:tc>
          <w:tcPr>
            <w:tcW w:type="pct" w:w="4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 OrganizationId, Level(L0–L3), DocumentType, FileRef(Object Storage key), UploadedAt, ExpiresAt</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Metadata trỏ tới file thật trong Object Storage — không lưu binary trong SQL Server.</w:t>
            </w:r>
          </w:p>
        </w:tc>
      </w:tr>
      <w:tr>
        <w:tc>
          <w:tcPr>
            <w:tcW w:type="pct" w:w="2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VerificationRecord *(Temporal Table)*</w:t>
            </w:r>
          </w:p>
        </w:tc>
        <w:tc>
          <w:tcPr>
            <w:tcW w:type="pct" w:w="4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 OrganizationId, Level, Status, SourceType, SourceRef, VerifiedBy, VerifiedAt, ExpiresAt, SysStartTime, SysEndTime</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Bảng lõi nhất hệ thống — chi tiết ở Mục 4.2.</w:t>
            </w:r>
          </w:p>
        </w:tc>
      </w:tr>
      <w:tr>
        <w:tc>
          <w:tcPr>
            <w:tcW w:type="pct" w:w="2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RiskAssessment</w:t>
            </w:r>
          </w:p>
        </w:tc>
        <w:tc>
          <w:tcPr>
            <w:tcW w:type="pct" w:w="4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 EvidenceDocumentId, OcrResultJson, ConsistencyScore, RiskScore, ScoreBreakdownJson, ModelVersion, CreatedAt</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Ghi bởi AI Trust Co-pilot — read-only đối với mọi module khác ngoài Admin Console.</w:t>
            </w:r>
          </w:p>
        </w:tc>
      </w:tr>
      <w:tr>
        <w:tc>
          <w:tcPr>
            <w:tcW w:type="pct" w:w="2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MarketVerificationProfile</w:t>
            </w:r>
          </w:p>
        </w:tc>
        <w:tc>
          <w:tcPr>
            <w:tcW w:type="pct" w:w="4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 Code(VD EU_FR), ParentProfileId, IdentityRulesJson, MandatoryCertsJson, AdapterConfigJson</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Cơ chế kế thừa — chi tiết ở Mục 4.3.</w:t>
            </w:r>
          </w:p>
        </w:tc>
      </w:tr>
      <w:tr>
        <w:tc>
          <w:tcPr>
            <w:tcW w:type="pct" w:w="2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MembershipPlan / Entitlement</w:t>
            </w:r>
          </w:p>
        </w:tc>
        <w:tc>
          <w:tcPr>
            <w:tcW w:type="pct" w:w="4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OrganizationId, PlanType(Free/Member), UsageCounters</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Phục vụ đo willingness-to-pay (contextual paywall) theo proposal Mục 4.</w:t>
            </w:r>
          </w:p>
        </w:tc>
      </w:tr>
      <w:tr>
        <w:tc>
          <w:tcPr>
            <w:tcW w:type="pct" w:w="2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RfqRequest</w:t>
            </w:r>
          </w:p>
        </w:tc>
        <w:tc>
          <w:tcPr>
            <w:tcW w:type="pct" w:w="4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 BuyerOrgId, CompanyOrgId, Message, Status, CreatedAt</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Trạng thái: Sent → Viewed → Responded → Closed.</w:t>
            </w:r>
          </w:p>
        </w:tc>
      </w:tr>
      <w:tr>
        <w:tc>
          <w:tcPr>
            <w:tcW w:type="pct" w:w="2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AuditLogEntry *(Temporal Table)*</w:t>
            </w:r>
          </w:p>
        </w:tc>
        <w:tc>
          <w:tcPr>
            <w:tcW w:type="pct" w:w="4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 ActorUserId, Action, TargetEntity, TargetId, DetailsJson, Timestamp</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Ghi mọi hành động Admin + mọi lần AI chấm điểm — độc lập với VerificationRecord để tra cứu "ai làm gì khi nào" không phụ thuộc domain cụ thể.</w:t>
            </w:r>
          </w:p>
        </w:tc>
      </w:tr>
    </w:tbl>
    <w:p>
      <w:pPr>
        <w:pStyle w:val="Heading2"/>
        <w:spacing w:after="140" w:before="320"/>
      </w:pPr>
      <w:r>
        <w:t xml:space="preserve">4.2. Chiến lược Temporal Tables &amp; Evidence Record</w:t>
      </w:r>
    </w:p>
    <w:p>
      <w:pPr>
        <w:spacing w:after="140" w:line="300"/>
      </w:pPr>
      <w:r>
        <w:rPr>
          <w:sz w:val="21"/>
          <w:szCs w:val="21"/>
        </w:rPr>
        <w:t xml:space="preserve">SQL Server Temporal Tables được dùng cho đúng 2 bảng cần audit bất biến tuyệt đối: VerificationRecord và AuditLogEntry. Đây là quyết định có chủ đích — không temporal-hoá toàn bộ database vì sẽ tăng chi phí lưu trữ không cần thiết cho dữ liệu không nhạy cảm về mặt truy vết (VD Product, Tag).</w:t>
      </w:r>
    </w:p>
    <w:p>
      <w:pPr>
        <w:spacing w:after="140" w:line="300"/>
      </w:pPr>
      <w:r>
        <w:rPr>
          <w:sz w:val="21"/>
          <w:szCs w:val="21"/>
        </w:rPr>
        <w:t xml:space="preserve">Nguyên tắc thực thi trong EF Core:</w:t>
      </w:r>
    </w:p>
    <w:p>
      <w:pPr>
        <w:pStyle w:val="ListParagraph"/>
        <w:numPr>
          <w:ilvl w:val="0"/>
          <w:numId w:val="1"/>
        </w:numPr>
        <w:spacing w:after="80"/>
      </w:pPr>
      <w:r>
        <w:rPr>
          <w:sz w:val="21"/>
          <w:szCs w:val="21"/>
        </w:rPr>
        <w:t xml:space="preserve">VerificationRecord không có API Update hay Delete ở tầng ứng dụng — mọi thay đổi cấp độ là một Insert bản ghi mới (append-only theo đúng mô tả proposal). SQL Server tự động lưu phiên bản cũ vào bảng lịch sử (History Table) do cơ chế Temporal, Admin không có quyền và không có đường code nào để sửa dữ liệu lịch sử.</w:t>
      </w:r>
    </w:p>
    <w:p>
      <w:pPr>
        <w:pStyle w:val="ListParagraph"/>
        <w:numPr>
          <w:ilvl w:val="0"/>
          <w:numId w:val="1"/>
        </w:numPr>
        <w:spacing w:after="80"/>
      </w:pPr>
      <w:r>
        <w:rPr>
          <w:sz w:val="21"/>
          <w:szCs w:val="21"/>
        </w:rPr>
        <w:t xml:space="preserve">Truy vấn "trạng thái hiện tại" luôn là bản ghi mới nhất theo OrganizationId + Level (partial index), không cần cột IsCurrent thủ công — giảm rủi ro bug đồng bộ.</w:t>
      </w:r>
    </w:p>
    <w:p>
      <w:pPr>
        <w:pStyle w:val="ListParagraph"/>
        <w:numPr>
          <w:ilvl w:val="0"/>
          <w:numId w:val="1"/>
        </w:numPr>
        <w:spacing w:after="80"/>
      </w:pPr>
      <w:r>
        <w:rPr>
          <w:sz w:val="21"/>
          <w:szCs w:val="21"/>
        </w:rPr>
        <w:t xml:space="preserve">FOR SYSTEM_TIME AS OF được dùng trực tiếp khi Admin cần xem "trạng thái xác minh của doanh nghiệp X tại thời điểm buyer Y gửi RFQ" — một yêu cầu tranh chấp thực tế mà kiến trúc này giải quyết miễn phí nhờ Temporal Tables, không cần code thêm.</w:t>
      </w:r>
    </w:p>
    <w:p>
      <w:pPr>
        <w:spacing w:after="140" w:line="300"/>
      </w:pPr>
      <w:r>
        <w:rPr>
          <w:sz w:val="21"/>
          <w:szCs w:val="21"/>
        </w:rPr>
        <w:t xml:space="preserve">Cấu trúc một Evidence Record (JSON logic, ánh xạ trực tiếp từ cột của VerificationRecord — đúng theo sơ đồ "Trust Levels" trong proposal):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color="auto" w:val="clear"/>
            <w:tcMar>
              <w:top w:type="dxa" w:w="160"/>
              <w:left w:type="dxa" w:w="200"/>
              <w:bottom w:type="dxa" w:w="160"/>
              <w:right w:type="dxa" w:w="200"/>
            </w:tcMar>
          </w:tcPr>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"claim": "L1_BASIC_VERIFIED",</w:t>
            </w:r>
          </w:p>
          <w:p>
            <w:pPr>
              <w:spacing w:after="20"/>
            </w:pPr>
            <w:r>
              <w:rPr>
                <w:rFonts w:ascii="Consolas" w:cs="Consolas" w:eastAsia="Consolas" w:hAnsi="Consolas"/>
                <w:color w:val="D4D4D4"/>
                <w:sz w:val="17"/>
                <w:szCs w:val="17"/>
              </w:rPr>
              <w:t xml:space="preserve">  "organization_id": "org_8f21...",</w:t>
            </w:r>
          </w:p>
          <w:p>
            <w:pPr>
              <w:spacing w:after="20"/>
            </w:pPr>
            <w:r>
              <w:rPr>
                <w:rFonts w:ascii="Consolas" w:cs="Consolas" w:eastAsia="Consolas" w:hAnsi="Consolas"/>
                <w:color w:val="D4D4D4"/>
                <w:sz w:val="17"/>
                <w:szCs w:val="17"/>
              </w:rPr>
              <w:t xml:space="preserve">  "source_type": "PUBLIC_REGISTRY_LOOKUP",   // hoặc DOCUMENT_UPLOAD | ADMIN_MANUAL</w:t>
            </w:r>
          </w:p>
          <w:p>
            <w:pPr>
              <w:spacing w:after="20"/>
            </w:pPr>
            <w:r>
              <w:rPr>
                <w:rFonts w:ascii="Consolas" w:cs="Consolas" w:eastAsia="Consolas" w:hAnsi="Consolas"/>
                <w:color w:val="D4D4D4"/>
                <w:sz w:val="17"/>
                <w:szCs w:val="17"/>
              </w:rPr>
              <w:t xml:space="preserve">  "source_ref": "MST:0312345678",</w:t>
            </w:r>
          </w:p>
          <w:p>
            <w:pPr>
              <w:spacing w:after="20"/>
            </w:pPr>
            <w:r>
              <w:rPr>
                <w:rFonts w:ascii="Consolas" w:cs="Consolas" w:eastAsia="Consolas" w:hAnsi="Consolas"/>
                <w:color w:val="D4D4D4"/>
                <w:sz w:val="17"/>
                <w:szCs w:val="17"/>
              </w:rPr>
              <w:t xml:space="preserve">  "verified_by": "system:vn-registry-adapter", // hoặc "admin:user_id"</w:t>
            </w:r>
          </w:p>
          <w:p>
            <w:pPr>
              <w:spacing w:after="20"/>
            </w:pPr>
            <w:r>
              <w:rPr>
                <w:rFonts w:ascii="Consolas" w:cs="Consolas" w:eastAsia="Consolas" w:hAnsi="Consolas"/>
                <w:color w:val="D4D4D4"/>
                <w:sz w:val="17"/>
                <w:szCs w:val="17"/>
              </w:rPr>
              <w:t xml:space="preserve">  "verified_at": "2026-09-22T08:14:00Z",</w:t>
            </w:r>
          </w:p>
          <w:p>
            <w:pPr>
              <w:spacing w:after="20"/>
            </w:pPr>
            <w:r>
              <w:rPr>
                <w:rFonts w:ascii="Consolas" w:cs="Consolas" w:eastAsia="Consolas" w:hAnsi="Consolas"/>
                <w:color w:val="D4D4D4"/>
                <w:sz w:val="17"/>
                <w:szCs w:val="17"/>
              </w:rPr>
              <w:t xml:space="preserve">  "expires_at": "2027-09-22T08:14:00Z",</w:t>
            </w:r>
          </w:p>
          <w:p>
            <w:pPr>
              <w:spacing w:after="20"/>
            </w:pPr>
            <w:r>
              <w:rPr>
                <w:rFonts w:ascii="Consolas" w:cs="Consolas" w:eastAsia="Consolas" w:hAnsi="Consolas"/>
                <w:color w:val="D4D4D4"/>
                <w:sz w:val="17"/>
                <w:szCs w:val="17"/>
              </w:rPr>
              <w:t xml:space="preserve">  "status": "ACTIVE",                          // ACTIVE | SUPERSEDED | REVOKED | EXPIRED</w:t>
            </w:r>
          </w:p>
          <w:p>
            <w:pPr>
              <w:spacing w:after="20"/>
            </w:pPr>
            <w:r>
              <w:rPr>
                <w:rFonts w:ascii="Consolas" w:cs="Consolas" w:eastAsia="Consolas" w:hAnsi="Consolas"/>
                <w:color w:val="D4D4D4"/>
                <w:sz w:val="17"/>
                <w:szCs w:val="17"/>
              </w:rPr>
              <w:t xml:space="preserve">  "evidence_document_ids": ["ev_5521..."],</w:t>
            </w:r>
          </w:p>
          <w:p>
            <w:pPr>
              <w:spacing w:after="20"/>
            </w:pPr>
            <w:r>
              <w:rPr>
                <w:rFonts w:ascii="Consolas" w:cs="Consolas" w:eastAsia="Consolas" w:hAnsi="Consolas"/>
                <w:color w:val="D4D4D4"/>
                <w:sz w:val="17"/>
                <w:szCs w:val="17"/>
              </w:rPr>
              <w:t xml:space="preserve">  "risk_assessment_ref": null                  // liên kết RiskAssessment nếu có, không bắt buộc</w:t>
            </w:r>
          </w:p>
          <w:p>
            <w:pPr>
              <w:spacing w:after="20"/>
            </w:pPr>
            <w:r>
              <w:rPr>
                <w:rFonts w:ascii="Consolas" w:cs="Consolas" w:eastAsia="Consolas" w:hAnsi="Consolas"/>
                <w:color w:val="D4D4D4"/>
                <w:sz w:val="17"/>
                <w:szCs w:val="17"/>
              </w:rPr>
              <w:t xml:space="preserve">}</w:t>
            </w:r>
          </w:p>
        </w:tc>
      </w:tr>
    </w:tbl>
    <w:p>
      <w:pPr>
        <w:spacing w:after="260" w:before="80"/>
        <w:jc w:val="center"/>
      </w:pPr>
      <w:r>
        <w:rPr>
          <w:i/>
          <w:iCs/>
          <w:color w:val="5A6472"/>
          <w:sz w:val="18"/>
          <w:szCs w:val="18"/>
        </w:rPr>
        <w:t xml:space="preserve">Cấu trúc dữ liệu Evidence Record — mỗi trường map 1-1 với cột trong VerificationRecord (Temporal Table), đúng nguyên tắc "truy vết được: dữ liệu nào – nguồn nào – ai xác minh – còn hiệu lực hay không".</w:t>
      </w:r>
    </w:p>
    <w:p>
      <w:pPr>
        <w:pStyle w:val="Heading2"/>
        <w:spacing w:after="140" w:before="320"/>
      </w:pPr>
      <w:r>
        <w:t xml:space="preserve">4.3. Market Verification Profile — schema &amp; cơ chế kế thừa</w:t>
      </w:r>
    </w:p>
    <w:p>
      <w:pPr>
        <w:spacing w:after="140" w:line="300"/>
      </w:pPr>
      <w:r>
        <w:rPr>
          <w:sz w:val="21"/>
          <w:szCs w:val="21"/>
        </w:rPr>
        <w:t xml:space="preserve">Để hiện thực hoá đúng nguyên tắc "mở rộng đa quốc gia không viết lại nền tảng", Verification Engine không bao giờ if/else theo quốc gia trong code — mọi quy tắc được đọc từ MarketVerificationProfile tại runtime, dùng Strategy Pattern kết hợp cơ chế kế thừa cấu hình (không phải kế thừa OOP, mà là JSON merge có thứ tự ưu tiên Child &gt; Parent):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color="auto" w:val="clear"/>
            <w:tcMar>
              <w:top w:type="dxa" w:w="160"/>
              <w:left w:type="dxa" w:w="200"/>
              <w:bottom w:type="dxa" w:w="160"/>
              <w:right w:type="dxa" w:w="200"/>
            </w:tcMar>
          </w:tcPr>
          <w:p>
            <w:pPr>
              <w:spacing w:after="20"/>
            </w:pPr>
            <w:r>
              <w:rPr>
                <w:rFonts w:ascii="Consolas" w:cs="Consolas" w:eastAsia="Consolas" w:hAnsi="Consolas"/>
                <w:color w:val="D4D4D4"/>
                <w:sz w:val="17"/>
                <w:szCs w:val="17"/>
              </w:rPr>
              <w:t xml:space="preserve">// Base Profile: EU_REGION</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"code": "EU_REGION",</w:t>
            </w:r>
          </w:p>
          <w:p>
            <w:pPr>
              <w:spacing w:after="20"/>
            </w:pPr>
            <w:r>
              <w:rPr>
                <w:rFonts w:ascii="Consolas" w:cs="Consolas" w:eastAsia="Consolas" w:hAnsi="Consolas"/>
                <w:color w:val="D4D4D4"/>
                <w:sz w:val="17"/>
                <w:szCs w:val="17"/>
              </w:rPr>
              <w:t xml:space="preserve">  "parent_code": null,</w:t>
            </w:r>
          </w:p>
          <w:p>
            <w:pPr>
              <w:spacing w:after="20"/>
            </w:pPr>
            <w:r>
              <w:rPr>
                <w:rFonts w:ascii="Consolas" w:cs="Consolas" w:eastAsia="Consolas" w:hAnsi="Consolas"/>
                <w:color w:val="D4D4D4"/>
                <w:sz w:val="17"/>
                <w:szCs w:val="17"/>
              </w:rPr>
              <w:t xml:space="preserve">  "identity_rules": {</w:t>
            </w:r>
          </w:p>
          <w:p>
            <w:pPr>
              <w:spacing w:after="20"/>
            </w:pPr>
            <w:r>
              <w:rPr>
                <w:rFonts w:ascii="Consolas" w:cs="Consolas" w:eastAsia="Consolas" w:hAnsi="Consolas"/>
                <w:color w:val="D4D4D4"/>
                <w:sz w:val="17"/>
                <w:szCs w:val="17"/>
              </w:rPr>
              <w:t xml:space="preserve">    "vat_format_regex": "^[A-Z]{2}[0-9A-Z]{8,12}$",</w:t>
            </w:r>
          </w:p>
          <w:p>
            <w:pPr>
              <w:spacing w:after="20"/>
            </w:pPr>
            <w:r>
              <w:rPr>
                <w:rFonts w:ascii="Consolas" w:cs="Consolas" w:eastAsia="Consolas" w:hAnsi="Consolas"/>
                <w:color w:val="D4D4D4"/>
                <w:sz w:val="17"/>
                <w:szCs w:val="17"/>
              </w:rPr>
              <w:t xml:space="preserve">    "adapter": "EuViesAdapter"</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  "mandatory_certifications": ["GlobalGAP"],</w:t>
            </w:r>
          </w:p>
          <w:p>
            <w:pPr>
              <w:spacing w:after="20"/>
            </w:pPr>
            <w:r>
              <w:rPr>
                <w:rFonts w:ascii="Consolas" w:cs="Consolas" w:eastAsia="Consolas" w:hAnsi="Consolas"/>
                <w:color w:val="D4D4D4"/>
                <w:sz w:val="17"/>
                <w:szCs w:val="17"/>
              </w:rPr>
              <w:t xml:space="preserve">  "external_adapters": ["EuViesAdapter"]</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 Child Profile: EU_FR  (kế thừa 100% EU_REGION, chỉ ghi đè phần khác biệt)</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"code": "EU_FR",</w:t>
            </w:r>
          </w:p>
          <w:p>
            <w:pPr>
              <w:spacing w:after="20"/>
            </w:pPr>
            <w:r>
              <w:rPr>
                <w:rFonts w:ascii="Consolas" w:cs="Consolas" w:eastAsia="Consolas" w:hAnsi="Consolas"/>
                <w:color w:val="D4D4D4"/>
                <w:sz w:val="17"/>
                <w:szCs w:val="17"/>
              </w:rPr>
              <w:t xml:space="preserve">  "parent_code": "EU_REGION",</w:t>
            </w:r>
          </w:p>
          <w:p>
            <w:pPr>
              <w:spacing w:after="20"/>
            </w:pPr>
            <w:r>
              <w:rPr>
                <w:rFonts w:ascii="Consolas" w:cs="Consolas" w:eastAsia="Consolas" w:hAnsi="Consolas"/>
                <w:color w:val="D4D4D4"/>
                <w:sz w:val="17"/>
                <w:szCs w:val="17"/>
              </w:rPr>
              <w:t xml:space="preserve">  "identity_rules": { "siret_regex": "^[0-9]{14}$" },   // bổ sung, không thay thế</w:t>
            </w:r>
          </w:p>
          <w:p>
            <w:pPr>
              <w:spacing w:after="20"/>
            </w:pPr>
            <w:r>
              <w:rPr>
                <w:rFonts w:ascii="Consolas" w:cs="Consolas" w:eastAsia="Consolas" w:hAnsi="Consolas"/>
                <w:color w:val="D4D4D4"/>
                <w:sz w:val="17"/>
                <w:szCs w:val="17"/>
              </w:rPr>
              <w:t xml:space="preserve">  "mandatory_certifications": []                          // rỗng = không ghi đè, kế thừa nguyên bản</w:t>
            </w:r>
          </w:p>
          <w:p>
            <w:pPr>
              <w:spacing w:after="20"/>
            </w:pPr>
            <w:r>
              <w:rPr>
                <w:rFonts w:ascii="Consolas" w:cs="Consolas" w:eastAsia="Consolas" w:hAnsi="Consolas"/>
                <w:color w:val="D4D4D4"/>
                <w:sz w:val="17"/>
                <w:szCs w:val="17"/>
              </w:rPr>
              <w:t xml:space="preserve">}</w:t>
            </w:r>
          </w:p>
        </w:tc>
      </w:tr>
    </w:tbl>
    <w:p>
      <w:pPr>
        <w:spacing w:after="260" w:before="80"/>
        <w:jc w:val="center"/>
      </w:pPr>
      <w:r>
        <w:rPr>
          <w:i/>
          <w:iCs/>
          <w:color w:val="5A6472"/>
          <w:sz w:val="18"/>
          <w:szCs w:val="18"/>
        </w:rPr>
        <w:t xml:space="preserve">Merge algorithm: ProfileResolver.Resolve(code) load Child rồi deep-merge lên trên Parent (đệ quy tới khi parent_code = null) — thêm 1 quốc gia con trong EU chỉ cần thêm 1 bản ghi JSON, không sửa code Verification Engine.</w:t>
      </w:r>
    </w:p>
    <w:p>
      <w:pPr>
        <w:spacing w:after="140" w:line="300"/>
      </w:pPr>
      <w:r>
        <w:rPr>
          <w:sz w:val="21"/>
          <w:szCs w:val="21"/>
        </w:rPr>
        <w:t xml:space="preserve">Phạm vi MVP (P0) chỉ khởi tạo 2 Profile gốc — Profile_VN (dùng VN Business Registry Adapter) và Profile_EU (dùng EU VIES Adapter) — đúng khoá phạm vi trong proposal. Cơ chế merge và interface IVerificationAdapter (Mục 5.2) được build đầy đủ ngay từ P0 dù chỉ có 2 Profile, vì đây chính là phần kiến trúc "chứng minh sẵn sàng mở rộng" mà DFL24 yêu cầu làm rõ ở Mục 3 proposal (P2 — Market Verification Profile ngoài EU).</w:t>
      </w:r>
    </w:p>
    <w:p>
      <w:pPr>
        <w:pStyle w:val="Heading1"/>
        <w:pBdr>
          <w:bottom w:val="single" w:color="0F2A4A" w:sz="8" w:space="4"/>
        </w:pBdr>
        <w:spacing w:after="200" w:before="400"/>
      </w:pPr>
      <w:r>
        <w:t xml:space="preserve">5. Kiến trúc API &amp; Tích hợp</w:t>
      </w:r>
    </w:p>
    <w:p>
      <w:pPr>
        <w:pStyle w:val="Heading2"/>
        <w:spacing w:after="140" w:before="320"/>
      </w:pPr>
      <w:r>
        <w:t xml:space="preserve">5.1. Nguyên tắc: Blazor Server nội bộ, hợp đồng sẵn sàng cho REST</w:t>
      </w:r>
    </w:p>
    <w:p>
      <w:pPr>
        <w:spacing w:after="140" w:line="300"/>
      </w:pPr>
      <w:r>
        <w:rPr>
          <w:sz w:val="21"/>
          <w:szCs w:val="21"/>
        </w:rPr>
        <w:t xml:space="preserve">MVP không cần một tầng REST API tách biệt — đúng lý do chọn Blazor Server trong proposal (loại bỏ lớp API trung gian, rút ngắn thời gian build trong 10 ngày). Tuy nhiên, để không tự trói vào Blazor Server vĩnh viễn, mọi lời gọi từ Razor Component xuống Domain Service Layer đều đi qua interface theo mẫu CQRS nhẹ (MediatR IRequest/IRequestHandler), thay vì gọi thẳng DbContext hay service cụ thể từ code-behind của component.</w:t>
      </w:r>
    </w:p>
    <w:p>
      <w:pPr>
        <w:spacing w:after="140" w:line="300"/>
      </w:pPr>
      <w:r>
        <w:rPr>
          <w:sz w:val="21"/>
          <w:szCs w:val="21"/>
        </w:rPr>
        <w:t xml:space="preserve">Hệ quả kiến trúc quan trọng: khi Giai đoạn 2 cần thêm BFF/API Gateway REST cho Mobile App (MAUI) hoặc đối tác ngoài, đội chỉ cần viết thêm 1 lớp Controller mỏng ánh xạ HTTP request → cùng một IRequest/IRequestHandler đã có sẵn — không viết lại business logic. Đây là cách cụ thể để giữ đúng cam kết "tách microservice khi cần, không viết lại" của proposal.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color="auto" w:val="clear"/>
            <w:tcMar>
              <w:top w:type="dxa" w:w="160"/>
              <w:left w:type="dxa" w:w="200"/>
              <w:bottom w:type="dxa" w:w="160"/>
              <w:right w:type="dxa" w:w="200"/>
            </w:tcMar>
          </w:tcPr>
          <w:p>
            <w:pPr>
              <w:spacing w:after="20"/>
            </w:pPr>
            <w:r>
              <w:rPr>
                <w:rFonts w:ascii="Consolas" w:cs="Consolas" w:eastAsia="Consolas" w:hAnsi="Consolas"/>
                <w:color w:val="D4D4D4"/>
                <w:sz w:val="17"/>
                <w:szCs w:val="17"/>
              </w:rPr>
              <w:t xml:space="preserve">// Blazor component gọi (MVP, trong tiến trình, không qua HTTP)</w:t>
            </w:r>
          </w:p>
          <w:p>
            <w:pPr>
              <w:spacing w:after="20"/>
            </w:pPr>
            <w:r>
              <w:rPr>
                <w:rFonts w:ascii="Consolas" w:cs="Consolas" w:eastAsia="Consolas" w:hAnsi="Consolas"/>
                <w:color w:val="D4D4D4"/>
                <w:sz w:val="17"/>
                <w:szCs w:val="17"/>
              </w:rPr>
              <w:t xml:space="preserve">var result = await Mediator.Send(new SubmitEvidenceCommand(orgId, files));</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 Giai đoạn 2 — cùng 1 handler, chỉ thêm 1 Controller REST mỏng</w:t>
            </w:r>
          </w:p>
          <w:p>
            <w:pPr>
              <w:spacing w:after="20"/>
            </w:pPr>
            <w:r>
              <w:rPr>
                <w:rFonts w:ascii="Consolas" w:cs="Consolas" w:eastAsia="Consolas" w:hAnsi="Consolas"/>
                <w:color w:val="D4D4D4"/>
                <w:sz w:val="17"/>
                <w:szCs w:val="17"/>
              </w:rPr>
              <w:t xml:space="preserve">[HttpPost("api/v1/evidence")]</w:t>
            </w:r>
          </w:p>
          <w:p>
            <w:pPr>
              <w:spacing w:after="20"/>
            </w:pPr>
            <w:r>
              <w:rPr>
                <w:rFonts w:ascii="Consolas" w:cs="Consolas" w:eastAsia="Consolas" w:hAnsi="Consolas"/>
                <w:color w:val="D4D4D4"/>
                <w:sz w:val="17"/>
                <w:szCs w:val="17"/>
              </w:rPr>
              <w:t xml:space="preserve">public async Task&lt;IActionResult&gt; SubmitEvidence(SubmitEvidenceRequest req)</w:t>
            </w:r>
          </w:p>
          <w:p>
            <w:pPr>
              <w:spacing w:after="20"/>
            </w:pPr>
            <w:r>
              <w:rPr>
                <w:rFonts w:ascii="Consolas" w:cs="Consolas" w:eastAsia="Consolas" w:hAnsi="Consolas"/>
                <w:color w:val="D4D4D4"/>
                <w:sz w:val="17"/>
                <w:szCs w:val="17"/>
              </w:rPr>
              <w:t xml:space="preserve">    =&gt; Ok(await _mediator.Send(req.ToCommand()));</w:t>
            </w:r>
          </w:p>
        </w:tc>
      </w:tr>
    </w:tbl>
    <w:p>
      <w:pPr>
        <w:pStyle w:val="Heading2"/>
        <w:spacing w:after="140" w:before="320"/>
      </w:pPr>
      <w:r>
        <w:t xml:space="preserve">5.2. External Adapter Interface</w:t>
      </w:r>
    </w:p>
    <w:p>
      <w:pPr>
        <w:spacing w:after="140" w:line="300"/>
      </w:pPr>
      <w:r>
        <w:rPr>
          <w:sz w:val="21"/>
          <w:szCs w:val="21"/>
        </w:rPr>
        <w:t xml:space="preserve">Toàn bộ tích hợp nguồn xác minh bên ngoài (VN Business Registry, EU VIES, và các nguồn tương lai KR/TW/CN/ME) đi qua một interface duy nhất, để Verification Engine không cần biết chi tiết từng API ngoài: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color="auto" w:val="clear"/>
            <w:tcMar>
              <w:top w:type="dxa" w:w="160"/>
              <w:left w:type="dxa" w:w="200"/>
              <w:bottom w:type="dxa" w:w="160"/>
              <w:right w:type="dxa" w:w="200"/>
            </w:tcMar>
          </w:tcPr>
          <w:p>
            <w:pPr>
              <w:spacing w:after="20"/>
            </w:pPr>
            <w:r>
              <w:rPr>
                <w:rFonts w:ascii="Consolas" w:cs="Consolas" w:eastAsia="Consolas" w:hAnsi="Consolas"/>
                <w:color w:val="D4D4D4"/>
                <w:sz w:val="17"/>
                <w:szCs w:val="17"/>
              </w:rPr>
              <w:t xml:space="preserve">public interface IVerificationAdapter</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string AdapterCode { get; }              // "VnBusinessRegistry", "EuVies"...</w:t>
            </w:r>
          </w:p>
          <w:p>
            <w:pPr>
              <w:spacing w:after="20"/>
            </w:pPr>
            <w:r>
              <w:rPr>
                <w:rFonts w:ascii="Consolas" w:cs="Consolas" w:eastAsia="Consolas" w:hAnsi="Consolas"/>
                <w:color w:val="D4D4D4"/>
                <w:sz w:val="17"/>
                <w:szCs w:val="17"/>
              </w:rPr>
              <w:t xml:space="preserve">    Task&lt;AdapterLookupResult&gt; LookupAsync(string identifier, CancellationToken ct);</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public record AdapterLookupResult(</w:t>
            </w:r>
          </w:p>
          <w:p>
            <w:pPr>
              <w:spacing w:after="20"/>
            </w:pPr>
            <w:r>
              <w:rPr>
                <w:rFonts w:ascii="Consolas" w:cs="Consolas" w:eastAsia="Consolas" w:hAnsi="Consolas"/>
                <w:color w:val="D4D4D4"/>
                <w:sz w:val="17"/>
                <w:szCs w:val="17"/>
              </w:rPr>
              <w:t xml:space="preserve">    bool IsMatch, string LegalNameFound, DateTime? LookedUpAt,</w:t>
            </w:r>
          </w:p>
          <w:p>
            <w:pPr>
              <w:spacing w:after="20"/>
            </w:pPr>
            <w:r>
              <w:rPr>
                <w:rFonts w:ascii="Consolas" w:cs="Consolas" w:eastAsia="Consolas" w:hAnsi="Consolas"/>
                <w:color w:val="D4D4D4"/>
                <w:sz w:val="17"/>
                <w:szCs w:val="17"/>
              </w:rPr>
              <w:t xml:space="preserve">    string RawResponseJson, AdapterLookupStatus Status  // Success | NotFound | SourceUnavailable</w:t>
            </w:r>
          </w:p>
          <w:p>
            <w:pPr>
              <w:spacing w:after="20"/>
            </w:pPr>
            <w:r>
              <w:rPr>
                <w:rFonts w:ascii="Consolas" w:cs="Consolas" w:eastAsia="Consolas" w:hAnsi="Consolas"/>
                <w:color w:val="D4D4D4"/>
                <w:sz w:val="17"/>
                <w:szCs w:val="17"/>
              </w:rPr>
              <w:t xml:space="preserve">);</w:t>
            </w:r>
          </w:p>
        </w:tc>
      </w:tr>
    </w:tbl>
    <w:p>
      <w:pPr>
        <w:spacing w:after="140" w:line="300"/>
      </w:pPr>
      <w:r>
        <w:rPr>
          <w:sz w:val="21"/>
          <w:szCs w:val="21"/>
        </w:rPr>
        <w:t xml:space="preserve">Xử lý rủi ro "phụ thuộc bên thứ ba không ổn định" (đã nêu ở Mục 9 rủi ro trong proposal) được thực thi cụ thể ở đây: khi AdapterLookupStatus = SourceUnavailable, Verification Engine không chặn luồng — hồ sơ tự động rơi vào hàng đợi Admin để xác minh thủ công, đúng nguyên tắc "Verification Engine luôn có phương án dự phòng, không phụ thuộc cứng vào một nguồn duy nhất".</w:t>
      </w:r>
    </w:p>
    <w:p>
      <w:pPr>
        <w:pStyle w:val="Heading2"/>
        <w:spacing w:after="140" w:before="320"/>
      </w:pPr>
      <w:r>
        <w:t xml:space="preserve">5.3. AI Trust Co-pilot — hợp đồng kỹ thuật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
        <w:gridCol w:w="30"/>
        <w:gridCol w:w="48"/>
      </w:tblGrid>
      <w:tr>
        <w:tc>
          <w:tcPr>
            <w:tcW w:type="pct" w:w="22%"/>
            <w:shd w:fill="0F2A4A" w:color="auto" w:val="clear"/>
            <w:tcMar>
              <w:top w:type="dxa" w:w="100"/>
              <w:left w:type="dxa" w:w="120"/>
              <w:bottom w:type="dxa" w:w="100"/>
              <w:right w:type="dxa" w:w="120"/>
            </w:tcMar>
            <w:vAlign w:val="center"/>
          </w:tcPr>
          <w:p>
            <w:pPr>
              <w:jc w:val="left"/>
            </w:pPr>
            <w:r>
              <w:rPr>
                <w:b/>
                <w:bCs/>
                <w:color w:val="FFFFFF"/>
                <w:sz w:val="19"/>
                <w:szCs w:val="19"/>
              </w:rPr>
              <w:t xml:space="preserve">Bước</w:t>
            </w:r>
          </w:p>
        </w:tc>
        <w:tc>
          <w:tcPr>
            <w:tcW w:type="pct" w:w="30%"/>
            <w:shd w:fill="0F2A4A" w:color="auto" w:val="clear"/>
            <w:tcMar>
              <w:top w:type="dxa" w:w="100"/>
              <w:left w:type="dxa" w:w="120"/>
              <w:bottom w:type="dxa" w:w="100"/>
              <w:right w:type="dxa" w:w="120"/>
            </w:tcMar>
            <w:vAlign w:val="center"/>
          </w:tcPr>
          <w:p>
            <w:pPr>
              <w:jc w:val="left"/>
            </w:pPr>
            <w:r>
              <w:rPr>
                <w:b/>
                <w:bCs/>
                <w:color w:val="FFFFFF"/>
                <w:sz w:val="19"/>
                <w:szCs w:val="19"/>
              </w:rPr>
              <w:t xml:space="preserve">Input → Output</w:t>
            </w:r>
          </w:p>
        </w:tc>
        <w:tc>
          <w:tcPr>
            <w:tcW w:type="pct" w:w="48%"/>
            <w:shd w:fill="0F2A4A" w:color="auto" w:val="clear"/>
            <w:tcMar>
              <w:top w:type="dxa" w:w="100"/>
              <w:left w:type="dxa" w:w="120"/>
              <w:bottom w:type="dxa" w:w="100"/>
              <w:right w:type="dxa" w:w="120"/>
            </w:tcMar>
            <w:vAlign w:val="center"/>
          </w:tcPr>
          <w:p>
            <w:pPr>
              <w:jc w:val="left"/>
            </w:pPr>
            <w:r>
              <w:rPr>
                <w:b/>
                <w:bCs/>
                <w:color w:val="FFFFFF"/>
                <w:sz w:val="19"/>
                <w:szCs w:val="19"/>
              </w:rPr>
              <w:t xml:space="preserve">Ràng buộc kỹ thuật</w:t>
            </w:r>
          </w:p>
        </w:tc>
      </w:tr>
      <w:tr>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① Document Forensics</w:t>
            </w:r>
          </w:p>
        </w:tc>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File scan/ảnh → OcrExtractionResult (JSON: tên công ty, số chứng nhận, ngày hết hạn, độ tin cậy OCR)</w:t>
            </w:r>
          </w:p>
        </w:tc>
        <w:tc>
          <w:tcPr>
            <w:tcW w:type="pct" w:w="4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Gọi Google Document AI (hoặc tương đương) qua HttpClient có retry + timeout 15s; kết quả cache theo file hash để không gọi lại API khi Admin xem lại nhiều lần.</w:t>
            </w:r>
          </w:p>
        </w:tc>
      </w:tr>
      <w:tr>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② Cross-source Consistency</w:t>
            </w:r>
          </w:p>
        </w:tc>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OcrExtractionResult + dữ liệu tự khai → ConsistencyScore (0–100)</w:t>
            </w:r>
          </w:p>
        </w:tc>
        <w:tc>
          <w:tcPr>
            <w:tcW w:type="pct" w:w="4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Prompt LLM được thiết kế để trả JSON có cấu trúc cố định (structured output) — không tự do văn bản; luôn kèm field "reasoning" ngắn để hiển thị cho Admin, không phải hộp đen.</w:t>
            </w:r>
          </w:p>
        </w:tc>
      </w:tr>
      <w:tr>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③ Anomaly &amp; Duplicate Detection</w:t>
            </w:r>
          </w:p>
        </w:tc>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So khớp với các hồ sơ khác trong hệ thống → cờ nghi vấn trùng lặp</w:t>
            </w:r>
          </w:p>
        </w:tc>
        <w:tc>
          <w:tcPr>
            <w:tcW w:type="pct" w:w="4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So khớp dựa trên fingerprint đơn giản (MST, số điện thoại, domain email, hash file) ở MVP — không cần mô hình ML riêng, đúng nguyên tắc "không bắt buộc AI phức tạp".</w:t>
            </w:r>
          </w:p>
        </w:tc>
      </w:tr>
      <w:tr>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④ Risk Scoring</w:t>
            </w:r>
          </w:p>
        </w:tc>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Tổng hợp 3 bước trên → RiskAssessment (RiskScore + ScoreBreakdownJson)</w:t>
            </w:r>
          </w:p>
        </w:tc>
        <w:tc>
          <w:tcPr>
            <w:tcW w:type="pct" w:w="4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Công thức điểm là weighted sum tường minh (không phải output trực tiếp từ LLM) — mỗi yếu tố đóng góp (OCR confidence, consistency score, duplicate flag) có trọng số rõ ràng, lưu trong ScoreBreakdownJson để Admin xem giải thích từng phần.</w:t>
            </w:r>
          </w:p>
        </w:tc>
      </w:tr>
      <w:tr>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⑤ Admin Queue Prioritization</w:t>
            </w:r>
          </w:p>
        </w:tc>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RiskAssessment → thứ tự hiển thị trong DevExpress XAF Review Queue</w:t>
            </w:r>
          </w:p>
        </w:tc>
        <w:tc>
          <w:tcPr>
            <w:tcW w:type="pct" w:w="4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Chỉ là ORDER BY RiskScore DESC trên view — không có logic ẩn giấu; Admin luôn có thể sort lại theo tiêu chí khác (VD thời gian chờ) để tránh AI thao túng hoàn toàn thứ tự xử lý.</w:t>
            </w:r>
          </w:p>
        </w:tc>
      </w:tr>
    </w:tbl>
    <w:p>
      <w:pPr>
        <w:spacing w:after="200" w:before="100"/>
      </w:pPr>
      <w:r>
        <w:rPr>
          <w:i/>
          <w:iCs/>
          <w:color w:val="5A6472"/>
          <w:sz w:val="19"/>
          <w:szCs w:val="19"/>
        </w:rPr>
        <w:t xml:space="preserve">Toàn bộ pipeline chạy trong 1 Hangfire background job (SubmitEvidenceScoringJob), có thể retry độc lập từng bước nếu 1 API ngoài lỗi tạm thời — không làm hỏng toàn bộ pipeline.</w:t>
      </w:r>
    </w:p>
    <w:p>
      <w:pPr>
        <w:pStyle w:val="Heading1"/>
        <w:pBdr>
          <w:bottom w:val="single" w:color="0F2A4A" w:sz="8" w:space="4"/>
        </w:pBdr>
        <w:spacing w:after="200" w:before="400"/>
      </w:pPr>
      <w:r>
        <w:t xml:space="preserve">6. Kiến trúc bảo mật (Security Architecture)</w:t>
      </w:r>
    </w:p>
    <w:p>
      <w:pPr>
        <w:pStyle w:val="Heading2"/>
        <w:spacing w:after="140" w:before="320"/>
      </w:pPr>
      <w:r>
        <w:t xml:space="preserve">6.1. Xác thực &amp; phân quyền (AuthN/AuthZ)</w:t>
      </w:r>
    </w:p>
    <w:p>
      <w:pPr>
        <w:spacing w:after="140" w:line="300"/>
      </w:pPr>
      <w:r>
        <w:rPr>
          <w:sz w:val="21"/>
          <w:szCs w:val="21"/>
        </w:rPr>
        <w:t xml:space="preserve">ASP.NET Core Identity làm nền, kết hợp RBAC theo đúng 4 vai trò nêu trong proposal (Company, Buyer, Provider, Admin), thực thi ở 2 lớp để không phụ thuộc duy nhất vào việc kiểm tra ở UI:</w:t>
      </w:r>
    </w:p>
    <w:p>
      <w:pPr>
        <w:pStyle w:val="ListParagraph"/>
        <w:numPr>
          <w:ilvl w:val="0"/>
          <w:numId w:val="1"/>
        </w:numPr>
        <w:spacing w:after="80"/>
      </w:pPr>
      <w:r>
        <w:rPr>
          <w:sz w:val="21"/>
          <w:szCs w:val="21"/>
        </w:rPr>
        <w:t xml:space="preserve">Lớp UI: [Authorize(Roles="Admin")] trên trang/route Blazor, ẩn hành động không đủ quyền khỏi giao diện.</w:t>
      </w:r>
    </w:p>
    <w:p>
      <w:pPr>
        <w:pStyle w:val="ListParagraph"/>
        <w:numPr>
          <w:ilvl w:val="0"/>
          <w:numId w:val="1"/>
        </w:numPr>
        <w:spacing w:after="80"/>
      </w:pPr>
      <w:r>
        <w:rPr>
          <w:sz w:val="21"/>
          <w:szCs w:val="21"/>
        </w:rPr>
        <w:t xml:space="preserve">Lớp Domain: mỗi Command Handler (VD ApproveVerificationCommandHandler) tự kiểm tra role trong logic, độc lập với UI — chặn được trường hợp gọi trực tiếp Mediator từ code khác hoặc từ API Giai đoạn 2 mà quên áp attribute.</w:t>
      </w:r>
    </w:p>
    <w:p>
      <w:pPr>
        <w:spacing w:after="140" w:line="300"/>
      </w:pPr>
      <w:r>
        <w:rPr>
          <w:sz w:val="21"/>
          <w:szCs w:val="21"/>
        </w:rPr>
        <w:t xml:space="preserve">Quy tắc quyền ghi đặc biệt quan trọng (thực thi nguyên tắc #3 ở Mục 1): chỉ role Admin và hệ thống nội bộ (system principal cho adapter lookup L0/L1 tự động) mới có quyền INSERT vào VerificationRecord. AI Trust Co-pilot service chạy dưới 1 service principal riêng, chỉ có quyền ghi bảng RiskAssessment — được thực thi bằng SQL permission (GRANT INSERT chỉ trên bảng đó) chứ không chỉ dựa vào code, để không thể bị bypass nếu có lỗi lập trình.</w:t>
      </w:r>
    </w:p>
    <w:p>
      <w:pPr>
        <w:pStyle w:val="Heading2"/>
        <w:spacing w:after="140" w:before="320"/>
      </w:pPr>
      <w:r>
        <w:t xml:space="preserve">6.2. Bảo vệ dữ liệu bằng chứng (Evidence Files)</w:t>
      </w:r>
    </w:p>
    <w:p>
      <w:pPr>
        <w:pStyle w:val="ListParagraph"/>
        <w:numPr>
          <w:ilvl w:val="0"/>
          <w:numId w:val="1"/>
        </w:numPr>
        <w:spacing w:after="80"/>
      </w:pPr>
      <w:r>
        <w:rPr>
          <w:sz w:val="21"/>
          <w:szCs w:val="21"/>
        </w:rPr>
        <w:t xml:space="preserve">File lưu ở Object Storage (S3/R2) trong bucket private, không có URL public trực tiếp.</w:t>
      </w:r>
    </w:p>
    <w:p>
      <w:pPr>
        <w:pStyle w:val="ListParagraph"/>
        <w:numPr>
          <w:ilvl w:val="0"/>
          <w:numId w:val="1"/>
        </w:numPr>
        <w:spacing w:after="80"/>
      </w:pPr>
      <w:r>
        <w:rPr>
          <w:sz w:val="21"/>
          <w:szCs w:val="21"/>
        </w:rPr>
        <w:t xml:space="preserve">Truy cập qua Pre-signed URL có thời hạn ngắn (5–15 phút), sinh động khi Admin/chủ hồ sơ bấm xem — không cache URL vĩnh viễn ở client.</w:t>
      </w:r>
    </w:p>
    <w:p>
      <w:pPr>
        <w:pStyle w:val="ListParagraph"/>
        <w:numPr>
          <w:ilvl w:val="0"/>
          <w:numId w:val="1"/>
        </w:numPr>
        <w:spacing w:after="80"/>
      </w:pPr>
      <w:r>
        <w:rPr>
          <w:sz w:val="21"/>
          <w:szCs w:val="21"/>
        </w:rPr>
        <w:t xml:space="preserve">Mọi lượt xem file bằng chứng của Admin được ghi vào AuditLogEntry (ai xem hồ sơ nào lúc nào) — phục vụ cả bảo mật lẫn giải trình khi có tranh chấp.</w:t>
      </w:r>
    </w:p>
    <w:p>
      <w:pPr>
        <w:pStyle w:val="Heading2"/>
        <w:spacing w:after="140" w:before="320"/>
      </w:pPr>
      <w:r>
        <w:t xml:space="preserve">6.3. Tối thiểu hoá dữ liệu &amp; GDPR-readiness</w:t>
      </w:r>
    </w:p>
    <w:p>
      <w:pPr>
        <w:spacing w:after="140" w:line="300"/>
      </w:pPr>
      <w:r>
        <w:rPr>
          <w:sz w:val="21"/>
          <w:szCs w:val="21"/>
        </w:rPr>
        <w:t xml:space="preserve">Vì buyer EU nằm trong phạm vi MVP, thiết kế dữ liệu tuân thủ nguyên tắc tối thiểu hoá ngay từ đầu dù chưa cần đạt chuẩn GDPR đầy đủ ở giai đoạn này:</w:t>
      </w:r>
    </w:p>
    <w:p>
      <w:pPr>
        <w:pStyle w:val="ListParagraph"/>
        <w:numPr>
          <w:ilvl w:val="0"/>
          <w:numId w:val="1"/>
        </w:numPr>
        <w:spacing w:after="80"/>
      </w:pPr>
      <w:r>
        <w:rPr>
          <w:sz w:val="21"/>
          <w:szCs w:val="21"/>
        </w:rPr>
        <w:t xml:space="preserve">Chỉ lưu trường dữ liệu cá nhân thực sự cần cho nghiệp vụ (email, tên liên hệ) — không lưu dữ liệu nhạy cảm không cần thiết.</w:t>
      </w:r>
    </w:p>
    <w:p>
      <w:pPr>
        <w:pStyle w:val="ListParagraph"/>
        <w:numPr>
          <w:ilvl w:val="0"/>
          <w:numId w:val="1"/>
        </w:numPr>
        <w:spacing w:after="80"/>
      </w:pPr>
      <w:r>
        <w:rPr>
          <w:sz w:val="21"/>
          <w:szCs w:val="21"/>
        </w:rPr>
        <w:t xml:space="preserve">Payload gửi tới OCR/LLM API ngoài ở MVP chỉ chứa nội dung tài liệu cần trích xuất — không gửi kèm dữ liệu định danh không liên quan (VD không gửi toàn bộ hồ sơ Organization vào prompt).</w:t>
      </w:r>
    </w:p>
    <w:p>
      <w:pPr>
        <w:pStyle w:val="ListParagraph"/>
        <w:numPr>
          <w:ilvl w:val="0"/>
          <w:numId w:val="1"/>
        </w:numPr>
        <w:spacing w:after="80"/>
      </w:pPr>
      <w:r>
        <w:rPr>
          <w:sz w:val="21"/>
          <w:szCs w:val="21"/>
        </w:rPr>
        <w:t xml:space="preserve">Thiết kế database tách riêng bảng chứa PII (User) khỏi bảng nghiệp vụ (Organization, Product) — chuẩn bị sẵn cho yêu cầu "quyền được quên" (right to erasure) nếu triển khai đầy đủ GDPR ở Giai đoạn 2 khi chuyển sang Azure OpenAI/Azure AI Document Intelligence với cam kết không dùng dữ liệu huấn luyện mô hình chung.</w:t>
      </w:r>
    </w:p>
    <w:p>
      <w:pPr>
        <w:pStyle w:val="Heading2"/>
        <w:spacing w:after="140" w:before="320"/>
      </w:pPr>
      <w:r>
        <w:t xml:space="preserve">6.4. Chống lạm dụng (Abuse Prevention)</w:t>
      </w:r>
    </w:p>
    <w:p>
      <w:pPr>
        <w:spacing w:after="140" w:line="300"/>
      </w:pPr>
      <w:r>
        <w:rPr>
          <w:sz w:val="21"/>
          <w:szCs w:val="21"/>
        </w:rPr>
        <w:t xml:space="preserve">Đáp ứng trực tiếp rủi ro "hồ sơ giả, spam RFQ" nêu ở Mục 9 proposal:</w:t>
      </w:r>
    </w:p>
    <w:p>
      <w:pPr>
        <w:pStyle w:val="ListParagraph"/>
        <w:numPr>
          <w:ilvl w:val="0"/>
          <w:numId w:val="1"/>
        </w:numPr>
        <w:spacing w:after="80"/>
      </w:pPr>
      <w:r>
        <w:rPr>
          <w:sz w:val="21"/>
          <w:szCs w:val="21"/>
        </w:rPr>
        <w:t xml:space="preserve">Xác thực email doanh nghiệp bắt buộc trước khi truy cập tính năng gửi RFQ.</w:t>
      </w:r>
    </w:p>
    <w:p>
      <w:pPr>
        <w:pStyle w:val="ListParagraph"/>
        <w:numPr>
          <w:ilvl w:val="0"/>
          <w:numId w:val="1"/>
        </w:numPr>
        <w:spacing w:after="80"/>
      </w:pPr>
      <w:r>
        <w:rPr>
          <w:sz w:val="21"/>
          <w:szCs w:val="21"/>
        </w:rPr>
        <w:t xml:space="preserve">Rate limiting theo Organization (không theo IP, vì B2B thường dùng chung mạng công ty) cho hành động gửi RFQ — ngưỡng cấu hình được, mặc định thấp hơn cho tài khoản L0/L1.</w:t>
      </w:r>
    </w:p>
    <w:p>
      <w:pPr>
        <w:pStyle w:val="ListParagraph"/>
        <w:numPr>
          <w:ilvl w:val="0"/>
          <w:numId w:val="1"/>
        </w:numPr>
        <w:spacing w:after="80"/>
      </w:pPr>
      <w:r>
        <w:rPr>
          <w:sz w:val="21"/>
          <w:szCs w:val="21"/>
        </w:rPr>
        <w:t xml:space="preserve">Admin có action "Khoá / Gắn cờ" trên Organization ngay trong DevExpress XAF, hiệu lực tức thì (kiểm tra ở middleware xác thực, không cache trạng thái khoá).</w:t>
      </w:r>
    </w:p>
    <w:p>
      <w:pPr>
        <w:pStyle w:val="Heading1"/>
        <w:pBdr>
          <w:bottom w:val="single" w:color="0F2A4A" w:sz="8" w:space="4"/>
        </w:pBdr>
        <w:spacing w:after="200" w:before="400"/>
      </w:pPr>
      <w:r>
        <w:t xml:space="preserve">7. Hạ tầng &amp; Triển khai (Infrastructure &amp; Deployment)</w:t>
      </w:r>
    </w:p>
    <w:p>
      <w:pPr>
        <w:spacing w:after="140" w:line="300"/>
      </w:pPr>
      <w:r>
        <w:rPr>
          <w:sz w:val="21"/>
          <w:szCs w:val="21"/>
        </w:rPr>
        <w:t xml:space="preserve">Mục này cụ thể hoá phần hạ tầng Giai đoạn 1 đã nêu ở Mục 6 proposal thành các quyết định triển khai thực thi được ngay từ Sprint 1, và bổ sung phần CI/CD, môi trường, quan sát hệ thống (observability) mà proposal chưa đi sâu.</w:t>
      </w:r>
    </w:p>
    <w:p>
      <w:pPr>
        <w:pStyle w:val="Heading2"/>
        <w:spacing w:after="140" w:before="320"/>
      </w:pPr>
      <w:r>
        <w:t xml:space="preserve">7.1. Cấu trúc triển khai MVP</w:t>
      </w:r>
    </w:p>
    <w:p>
      <w:pPr>
        <w:spacing w:after="140" w:line="300"/>
      </w:pPr>
      <w:r>
        <w:rPr>
          <w:sz w:val="21"/>
          <w:szCs w:val="21"/>
        </w:rPr>
        <w:t xml:space="preserve">Một VPS Singapore (2 vCPU – 8–16GB RAM, Ubuntu) chạy toàn bộ: ứng dụng Blazor Server (.NET, phía sau Nginx reverse proxy + TLS), SQL Server 2025 Express, và Hangfire background job — đúng phương án tối ưu chi phí trong proposal (~$30–50/tháng). Object Storage và OCR/LLM API là dịch vụ ngoài, không chiếm tài nguyên VPS.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
        <w:gridCol w:w="72"/>
      </w:tblGrid>
      <w:tr>
        <w:tc>
          <w:tcPr>
            <w:tcW w:type="pct" w:w="28%"/>
            <w:shd w:fill="0F2A4A" w:color="auto" w:val="clear"/>
            <w:tcMar>
              <w:top w:type="dxa" w:w="100"/>
              <w:left w:type="dxa" w:w="120"/>
              <w:bottom w:type="dxa" w:w="100"/>
              <w:right w:type="dxa" w:w="120"/>
            </w:tcMar>
            <w:vAlign w:val="center"/>
          </w:tcPr>
          <w:p>
            <w:pPr>
              <w:jc w:val="left"/>
            </w:pPr>
            <w:r>
              <w:rPr>
                <w:b/>
                <w:bCs/>
                <w:color w:val="FFFFFF"/>
                <w:sz w:val="19"/>
                <w:szCs w:val="19"/>
              </w:rPr>
              <w:t xml:space="preserve">Thành phần</w:t>
            </w:r>
          </w:p>
        </w:tc>
        <w:tc>
          <w:tcPr>
            <w:tcW w:type="pct" w:w="72%"/>
            <w:shd w:fill="0F2A4A" w:color="auto" w:val="clear"/>
            <w:tcMar>
              <w:top w:type="dxa" w:w="100"/>
              <w:left w:type="dxa" w:w="120"/>
              <w:bottom w:type="dxa" w:w="100"/>
              <w:right w:type="dxa" w:w="120"/>
            </w:tcMar>
            <w:vAlign w:val="center"/>
          </w:tcPr>
          <w:p>
            <w:pPr>
              <w:jc w:val="left"/>
            </w:pPr>
            <w:r>
              <w:rPr>
                <w:b/>
                <w:bCs/>
                <w:color w:val="FFFFFF"/>
                <w:sz w:val="19"/>
                <w:szCs w:val="19"/>
              </w:rPr>
              <w:t xml:space="preserve">Cấu hình đề xuất</w:t>
            </w:r>
          </w:p>
        </w:tc>
      </w:tr>
      <w:tr>
        <w:tc>
          <w:tcPr>
            <w:tcW w:type="pct" w:w="2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Reverse proxy</w:t>
            </w:r>
          </w:p>
        </w:tc>
        <w:tc>
          <w:tcPr>
            <w:tcW w:type="pct" w:w="7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Nginx — chấm dứt TLS (Let's Encrypt, auto-renew), forward tới Kestrel (.NET) qua Unix socket, bật gzip/br cho response tĩnh.</w:t>
            </w:r>
          </w:p>
        </w:tc>
      </w:tr>
      <w:tr>
        <w:tc>
          <w:tcPr>
            <w:tcW w:type="pct" w:w="2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Ứng dụng .NET</w:t>
            </w:r>
          </w:p>
        </w:tc>
        <w:tc>
          <w:tcPr>
            <w:tcW w:type="pct" w:w="7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Chạy dưới systemd service (không dùng IIS trên Linux) — auto-restart khi crash, log ra journald + file.</w:t>
            </w:r>
          </w:p>
        </w:tc>
      </w:tr>
      <w:tr>
        <w:tc>
          <w:tcPr>
            <w:tcW w:type="pct" w:w="2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SQL Server</w:t>
            </w:r>
          </w:p>
        </w:tc>
        <w:tc>
          <w:tcPr>
            <w:tcW w:type="pct" w:w="7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Cài trực tiếp trên VPS (Docker container để dễ backup/restore và tái tạo môi trường dev giống prod).</w:t>
            </w:r>
          </w:p>
        </w:tc>
      </w:tr>
      <w:tr>
        <w:tc>
          <w:tcPr>
            <w:tcW w:type="pct" w:w="2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Background job</w:t>
            </w:r>
          </w:p>
        </w:tc>
        <w:tc>
          <w:tcPr>
            <w:tcW w:type="pct" w:w="7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Hangfire chạy in-process trong cùng ứng dụng .NET ở MVP (không cần worker riêng do tải thấp: 15–20 doanh nghiệp, 5–10 buyer/Provider theo proposal).</w:t>
            </w:r>
          </w:p>
        </w:tc>
      </w:tr>
      <w:tr>
        <w:tc>
          <w:tcPr>
            <w:tcW w:type="pct" w:w="2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Domain &amp; DNS</w:t>
            </w:r>
          </w:p>
        </w:tc>
        <w:tc>
          <w:tcPr>
            <w:tcW w:type="pct" w:w="7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1 domain chính cho web app; CNAME riêng cho Object Storage nếu cần custom domain cho evidence link.</w:t>
            </w:r>
          </w:p>
        </w:tc>
      </w:tr>
    </w:tbl>
    <w:p>
      <w:pPr>
        <w:pStyle w:val="Heading2"/>
        <w:spacing w:after="140" w:before="320"/>
      </w:pPr>
      <w:r>
        <w:t xml:space="preserve">7.2. CI/CD</w:t>
      </w:r>
    </w:p>
    <w:p>
      <w:pPr>
        <w:spacing w:after="140" w:line="300"/>
      </w:pPr>
      <w:r>
        <w:rPr>
          <w:sz w:val="21"/>
          <w:szCs w:val="21"/>
        </w:rPr>
        <w:t xml:space="preserve">Pipeline tối giản nhưng đủ an toàn để deploy nhiều lần/ngày trong 10 ngày Sprint core, tránh deploy thủ công gây lỗi giờ chót: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color="auto" w:val="clear"/>
            <w:tcMar>
              <w:top w:type="dxa" w:w="160"/>
              <w:left w:type="dxa" w:w="200"/>
              <w:bottom w:type="dxa" w:w="160"/>
              <w:right w:type="dxa" w:w="200"/>
            </w:tcMar>
          </w:tcPr>
          <w:p>
            <w:pPr>
              <w:spacing w:after="20"/>
            </w:pPr>
            <w:r>
              <w:rPr>
                <w:rFonts w:ascii="Consolas" w:cs="Consolas" w:eastAsia="Consolas" w:hAnsi="Consolas"/>
                <w:color w:val="D4D4D4"/>
                <w:sz w:val="17"/>
                <w:szCs w:val="17"/>
              </w:rPr>
              <w:t xml:space="preserve">GitHub Actions (trigger: push to main)</w:t>
            </w:r>
          </w:p>
          <w:p>
            <w:pPr>
              <w:spacing w:after="20"/>
            </w:pPr>
            <w:r>
              <w:rPr>
                <w:rFonts w:ascii="Consolas" w:cs="Consolas" w:eastAsia="Consolas" w:hAnsi="Consolas"/>
                <w:color w:val="D4D4D4"/>
                <w:sz w:val="17"/>
                <w:szCs w:val="17"/>
              </w:rPr>
              <w:t xml:space="preserve">  1. dotnet restore &amp;&amp; dotnet build -c Release</w:t>
            </w:r>
          </w:p>
          <w:p>
            <w:pPr>
              <w:spacing w:after="20"/>
            </w:pPr>
            <w:r>
              <w:rPr>
                <w:rFonts w:ascii="Consolas" w:cs="Consolas" w:eastAsia="Consolas" w:hAnsi="Consolas"/>
                <w:color w:val="D4D4D4"/>
                <w:sz w:val="17"/>
                <w:szCs w:val="17"/>
              </w:rPr>
              <w:t xml:space="preserve">  2. dotnet test  (unit test cho Verification Engine, Matching ranking, adapter mock)</w:t>
            </w:r>
          </w:p>
          <w:p>
            <w:pPr>
              <w:spacing w:after="20"/>
            </w:pPr>
            <w:r>
              <w:rPr>
                <w:rFonts w:ascii="Consolas" w:cs="Consolas" w:eastAsia="Consolas" w:hAnsi="Consolas"/>
                <w:color w:val="D4D4D4"/>
                <w:sz w:val="17"/>
                <w:szCs w:val="17"/>
              </w:rPr>
              <w:t xml:space="preserve">  3. dotnet publish -c Release -o ./publish</w:t>
            </w:r>
          </w:p>
          <w:p>
            <w:pPr>
              <w:spacing w:after="20"/>
            </w:pPr>
            <w:r>
              <w:rPr>
                <w:rFonts w:ascii="Consolas" w:cs="Consolas" w:eastAsia="Consolas" w:hAnsi="Consolas"/>
                <w:color w:val="D4D4D4"/>
                <w:sz w:val="17"/>
                <w:szCs w:val="17"/>
              </w:rPr>
              <w:t xml:space="preserve">  4. rsync ./publish → VPS (qua SSH key, không dùng password)</w:t>
            </w:r>
          </w:p>
          <w:p>
            <w:pPr>
              <w:spacing w:after="20"/>
            </w:pPr>
            <w:r>
              <w:rPr>
                <w:rFonts w:ascii="Consolas" w:cs="Consolas" w:eastAsia="Consolas" w:hAnsi="Consolas"/>
                <w:color w:val="D4D4D4"/>
                <w:sz w:val="17"/>
                <w:szCs w:val="17"/>
              </w:rPr>
              <w:t xml:space="preserve">  5. ssh VPS: sudo systemctl restart vybe-trade.service</w:t>
            </w:r>
          </w:p>
          <w:p>
            <w:pPr>
              <w:spacing w:after="20"/>
            </w:pPr>
            <w:r>
              <w:rPr>
                <w:rFonts w:ascii="Consolas" w:cs="Consolas" w:eastAsia="Consolas" w:hAnsi="Consolas"/>
                <w:color w:val="D4D4D4"/>
                <w:sz w:val="17"/>
                <w:szCs w:val="17"/>
              </w:rPr>
              <w:t xml:space="preserve">  6. Health check: curl https://app/health → phải trả 200 trong 30s, nếu không rollback bản trước</w:t>
            </w:r>
          </w:p>
        </w:tc>
      </w:tr>
    </w:tbl>
    <w:p>
      <w:pPr>
        <w:spacing w:after="140" w:line="300"/>
      </w:pPr>
      <w:r>
        <w:rPr>
          <w:sz w:val="21"/>
          <w:szCs w:val="21"/>
        </w:rPr>
        <w:t xml:space="preserve">Bước test (2) là bắt buộc tối thiểu cho 3 vùng rủi ro cao nhất: quy tắc chuyển cấp độ verification (Level Rule Engine), thuật toán ranking matching, và cơ chế merge Market Verification Profile — đây là những phần lỗi sẽ khó phát hiện bằng mắt khi demo nhanh.</w:t>
      </w:r>
    </w:p>
    <w:p>
      <w:pPr>
        <w:pStyle w:val="Heading2"/>
        <w:spacing w:after="140" w:before="320"/>
      </w:pPr>
      <w:r>
        <w:t xml:space="preserve">7.3. Môi trường (Environments)</w:t>
      </w:r>
    </w:p>
    <w:p>
      <w:pPr>
        <w:pStyle w:val="ListParagraph"/>
        <w:numPr>
          <w:ilvl w:val="0"/>
          <w:numId w:val="1"/>
        </w:numPr>
        <w:spacing w:after="80"/>
      </w:pPr>
      <w:r>
        <w:rPr>
          <w:sz w:val="21"/>
          <w:szCs w:val="21"/>
        </w:rPr>
        <w:t xml:space="preserve">Development: máy cá nhân từng kỹ sư, SQL Server LocalDB/Docker, mock cho VN Registry/EU VIES/OCR API (tránh gọi API thật tốn phí khi dev).</w:t>
      </w:r>
    </w:p>
    <w:p>
      <w:pPr>
        <w:pStyle w:val="ListParagraph"/>
        <w:numPr>
          <w:ilvl w:val="0"/>
          <w:numId w:val="1"/>
        </w:numPr>
        <w:spacing w:after="80"/>
      </w:pPr>
      <w:r>
        <w:rPr>
          <w:sz w:val="21"/>
          <w:szCs w:val="21"/>
        </w:rPr>
        <w:t xml:space="preserve">Staging: nhánh riêng trên cùng VPS (port khác) hoặc VPS thứ 2 nhỏ — dùng để Project Lead/QA duyệt trước khi merge vào bản demo chính, đặc biệt quan trọng cho mốc Review giữa kỳ 25/09.</w:t>
      </w:r>
    </w:p>
    <w:p>
      <w:pPr>
        <w:pStyle w:val="ListParagraph"/>
        <w:numPr>
          <w:ilvl w:val="0"/>
          <w:numId w:val="1"/>
        </w:numPr>
        <w:spacing w:after="80"/>
      </w:pPr>
      <w:r>
        <w:rPr>
          <w:sz w:val="21"/>
          <w:szCs w:val="21"/>
        </w:rPr>
        <w:t xml:space="preserve">Production: VPS chính, chỉ nhận deploy từ nhánh main đã qua test — đây là môi trường bàn giao cho DFL24 tại mốc 30/09.</w:t>
      </w:r>
    </w:p>
    <w:p>
      <w:pPr>
        <w:pStyle w:val="Heading2"/>
        <w:spacing w:after="140" w:before="320"/>
      </w:pPr>
      <w:r>
        <w:t xml:space="preserve">7.4. Observability</w:t>
      </w:r>
    </w:p>
    <w:p>
      <w:pPr>
        <w:spacing w:after="140" w:line="300"/>
      </w:pPr>
      <w:r>
        <w:rPr>
          <w:sz w:val="21"/>
          <w:szCs w:val="21"/>
        </w:rPr>
        <w:t xml:space="preserve">Ở quy mô MVP, không cần dàn APM phức tạp, nhưng 3 thứ sau là bắt buộc để không "mù" khi có sự cố đúng lúc demo hoặc tại SIAL Paris:</w:t>
      </w:r>
    </w:p>
    <w:p>
      <w:pPr>
        <w:pStyle w:val="ListParagraph"/>
        <w:numPr>
          <w:ilvl w:val="0"/>
          <w:numId w:val="1"/>
        </w:numPr>
        <w:spacing w:after="80"/>
      </w:pPr>
      <w:r>
        <w:rPr>
          <w:sz w:val="21"/>
          <w:szCs w:val="21"/>
        </w:rPr>
        <w:t xml:space="preserve">Structured logging (Serilog) — ghi ra file JSON theo ngày, đủ để trace 1 request từ upload evidence tới kết quả risk score.</w:t>
      </w:r>
    </w:p>
    <w:p>
      <w:pPr>
        <w:pStyle w:val="ListParagraph"/>
        <w:numPr>
          <w:ilvl w:val="0"/>
          <w:numId w:val="1"/>
        </w:numPr>
        <w:spacing w:after="80"/>
      </w:pPr>
      <w:r>
        <w:rPr>
          <w:sz w:val="21"/>
          <w:szCs w:val="21"/>
        </w:rPr>
        <w:t xml:space="preserve">Health check endpoint (/health) kiểm tra kết nối DB + Object Storage — dùng cho CI/CD rollback và để Project Lead kiểm tra nhanh trước mỗi buổi demo.</w:t>
      </w:r>
    </w:p>
    <w:p>
      <w:pPr>
        <w:pStyle w:val="ListParagraph"/>
        <w:numPr>
          <w:ilvl w:val="0"/>
          <w:numId w:val="1"/>
        </w:numPr>
        <w:spacing w:after="80"/>
      </w:pPr>
      <w:r>
        <w:rPr>
          <w:sz w:val="21"/>
          <w:szCs w:val="21"/>
        </w:rPr>
        <w:t xml:space="preserve">Cảnh báo ngưỡng sử dụng OCR/LLM API (đếm số lượt gọi/ngày) — phục vụ đúng yêu cầu "theo dõi usage AI theo ngưỡng cảnh báo" ở Mục 9 rủi ro của proposal, tránh vượt ngân sách mà không ai biết.</w:t>
      </w:r>
    </w:p>
    <w:p>
      <w:pPr>
        <w:pStyle w:val="Heading1"/>
        <w:pBdr>
          <w:bottom w:val="single" w:color="0F2A4A" w:sz="8" w:space="4"/>
        </w:pBdr>
        <w:spacing w:after="200" w:before="400"/>
      </w:pPr>
      <w:r>
        <w:t xml:space="preserve">8. Lộ trình mở rộng (Scalability &amp; Evolution Roadmap)</w:t>
      </w:r>
    </w:p>
    <w:p>
      <w:pPr>
        <w:spacing w:after="140" w:line="300"/>
      </w:pPr>
      <w:r>
        <w:rPr>
          <w:sz w:val="21"/>
          <w:szCs w:val="21"/>
        </w:rPr>
        <w:t xml:space="preserve">Đây là phần cụ thể hoá cam kết cốt lõi của bản kiến trúc này: MVP không phải một hệ thống "dùng để demo rồi bỏ" — mọi ranh giới, hợp đồng interface và mô hình dữ liệu ở các mục trên đều được chọn để phần dưới đây thực hiện được mà không cần viết lại domain logic.</w:t>
      </w:r>
    </w:p>
    <w:p>
      <w:pPr>
        <w:spacing w:after="60" w:before="20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57625"/>
                    </a:xfrm>
                    <a:prstGeom prst="rect">
                      <a:avLst/>
                    </a:prstGeom>
                  </pic:spPr>
                </pic:pic>
              </a:graphicData>
            </a:graphic>
          </wp:inline>
        </w:drawing>
      </w:r>
    </w:p>
    <w:p>
      <w:pPr>
        <w:spacing w:after="260" w:before="80"/>
        <w:jc w:val="center"/>
      </w:pPr>
      <w:r>
        <w:rPr>
          <w:i/>
          <w:iCs/>
          <w:color w:val="5A6472"/>
          <w:sz w:val="18"/>
          <w:szCs w:val="18"/>
        </w:rPr>
        <w:t xml:space="preserve">Hình B. Lộ trình scale-up — modular monolith (Giai đoạn 1) sang microservices chọn lọc + đa nền tảng (Giai đoạn 2).</w:t>
      </w:r>
    </w:p>
    <w:p>
      <w:pPr>
        <w:pStyle w:val="Heading2"/>
        <w:spacing w:after="140" w:before="320"/>
      </w:pPr>
      <w:r>
        <w:t xml:space="preserve">8.1. Nguyên tắc tách service: chỉ tách khi có áp lực thật</w:t>
      </w:r>
    </w:p>
    <w:p>
      <w:pPr>
        <w:spacing w:after="140" w:line="300"/>
      </w:pPr>
      <w:r>
        <w:rPr>
          <w:sz w:val="21"/>
          <w:szCs w:val="21"/>
        </w:rPr>
        <w:t xml:space="preserve">Đúng nguyên tắc kiến trúc #1 (Mục 1), việc tách microservice không phải mục tiêu tự thân. Bảng dưới liệt kê điều kiện cụ thể (trigger) để quyết định tách từng module — tránh over-engineering ở MVP nhưng cũng tránh trì hoãn khi thực sự cần: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38"/>
        <w:gridCol w:w="38"/>
      </w:tblGrid>
      <w:tr>
        <w:tc>
          <w:tcPr>
            <w:tcW w:type="pct" w:w="24%"/>
            <w:shd w:fill="0F2A4A" w:color="auto" w:val="clear"/>
            <w:tcMar>
              <w:top w:type="dxa" w:w="100"/>
              <w:left w:type="dxa" w:w="120"/>
              <w:bottom w:type="dxa" w:w="100"/>
              <w:right w:type="dxa" w:w="120"/>
            </w:tcMar>
            <w:vAlign w:val="center"/>
          </w:tcPr>
          <w:p>
            <w:pPr>
              <w:jc w:val="left"/>
            </w:pPr>
            <w:r>
              <w:rPr>
                <w:b/>
                <w:bCs/>
                <w:color w:val="FFFFFF"/>
                <w:sz w:val="19"/>
                <w:szCs w:val="19"/>
              </w:rPr>
              <w:t xml:space="preserve">Module</w:t>
            </w:r>
          </w:p>
        </w:tc>
        <w:tc>
          <w:tcPr>
            <w:tcW w:type="pct" w:w="38%"/>
            <w:shd w:fill="0F2A4A" w:color="auto" w:val="clear"/>
            <w:tcMar>
              <w:top w:type="dxa" w:w="100"/>
              <w:left w:type="dxa" w:w="120"/>
              <w:bottom w:type="dxa" w:w="100"/>
              <w:right w:type="dxa" w:w="120"/>
            </w:tcMar>
            <w:vAlign w:val="center"/>
          </w:tcPr>
          <w:p>
            <w:pPr>
              <w:jc w:val="left"/>
            </w:pPr>
            <w:r>
              <w:rPr>
                <w:b/>
                <w:bCs/>
                <w:color w:val="FFFFFF"/>
                <w:sz w:val="19"/>
                <w:szCs w:val="19"/>
              </w:rPr>
              <w:t xml:space="preserve">Giữ trong monolith khi...</w:t>
            </w:r>
          </w:p>
        </w:tc>
        <w:tc>
          <w:tcPr>
            <w:tcW w:type="pct" w:w="38%"/>
            <w:shd w:fill="0F2A4A" w:color="auto" w:val="clear"/>
            <w:tcMar>
              <w:top w:type="dxa" w:w="100"/>
              <w:left w:type="dxa" w:w="120"/>
              <w:bottom w:type="dxa" w:w="100"/>
              <w:right w:type="dxa" w:w="120"/>
            </w:tcMar>
            <w:vAlign w:val="center"/>
          </w:tcPr>
          <w:p>
            <w:pPr>
              <w:jc w:val="left"/>
            </w:pPr>
            <w:r>
              <w:rPr>
                <w:b/>
                <w:bCs/>
                <w:color w:val="FFFFFF"/>
                <w:sz w:val="19"/>
                <w:szCs w:val="19"/>
              </w:rPr>
              <w:t xml:space="preserve">Tách thành service riêng khi...</w:t>
            </w:r>
          </w:p>
        </w:tc>
      </w:tr>
      <w:tr>
        <w:tc>
          <w:tcPr>
            <w:tcW w:type="pct" w:w="24%"/>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AI Trust Co-pilot</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Lượt xác minh còn thấp (&lt;vài trăm hồ sơ/tháng), 1 VPS đủ tải OCR/LLM call bất đồng bộ.</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Tải OCR/LLM tăng đủ lớn để cần scale độc lập với phần còn lại (VD nhiều region cùng nộp hồ sơ giờ cao điểm), hoặc cần đổi nhà cung cấp AI theo từng thị trường.</w:t>
            </w:r>
          </w:p>
        </w:tc>
      </w:tr>
      <w:tr>
        <w:tc>
          <w:tcPr>
            <w:tcW w:type="pct" w:w="24%"/>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Verification Engine</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Chỉ có 2 Market Verification Profile (VN, EU) như phạm vi MVP.</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Số lượng Profile quốc gia tăng (KR/TW/CN/ME theo P2) và tần suất thay đổi quy tắc từng thị trường cao hơn tốc độ release chung của monolith — tách để deploy độc lập không ảnh hưởng module khác.</w:t>
            </w:r>
          </w:p>
        </w:tc>
      </w:tr>
      <w:tr>
        <w:tc>
          <w:tcPr>
            <w:tcW w:type="pct" w:w="24%"/>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Identity, Company, Membership, RFQ, Audit</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Gần như luôn luôn — đây là nghiệp vụ lõi ổn định, thay đổi chậm, không có lý do kỹ thuật để tách.</w:t>
            </w:r>
          </w:p>
        </w:tc>
        <w:tc>
          <w:tcPr>
            <w:tcW w:type="pct" w:w="3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Chỉ tách nếu tổ chức hoá đội ngũ thành nhiều team độc lập sở hữu từng domain (Conway's Law) — không phải nhu cầu kỹ thuật thuần tuý ở quy mô hiện tại.</w:t>
            </w:r>
          </w:p>
        </w:tc>
      </w:tr>
    </w:tbl>
    <w:p>
      <w:pPr>
        <w:pStyle w:val="Heading2"/>
        <w:spacing w:after="140" w:before="320"/>
      </w:pPr>
      <w:r>
        <w:t xml:space="preserve">8.2. Đường nâng cấp hạ tầng 1-1 (Giai đoạn 1 → Giai đoạn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35"/>
        <w:gridCol w:w="35"/>
      </w:tblGrid>
      <w:tr>
        <w:tc>
          <w:tcPr>
            <w:tcW w:type="pct" w:w="30%"/>
            <w:shd w:fill="0F2A4A" w:color="auto" w:val="clear"/>
            <w:tcMar>
              <w:top w:type="dxa" w:w="100"/>
              <w:left w:type="dxa" w:w="120"/>
              <w:bottom w:type="dxa" w:w="100"/>
              <w:right w:type="dxa" w:w="120"/>
            </w:tcMar>
            <w:vAlign w:val="center"/>
          </w:tcPr>
          <w:p>
            <w:pPr>
              <w:jc w:val="left"/>
            </w:pPr>
            <w:r>
              <w:rPr>
                <w:b/>
                <w:bCs/>
                <w:color w:val="FFFFFF"/>
                <w:sz w:val="19"/>
                <w:szCs w:val="19"/>
              </w:rPr>
              <w:t xml:space="preserve">Thành phần</w:t>
            </w:r>
          </w:p>
        </w:tc>
        <w:tc>
          <w:tcPr>
            <w:tcW w:type="pct" w:w="35%"/>
            <w:shd w:fill="0F2A4A" w:color="auto" w:val="clear"/>
            <w:tcMar>
              <w:top w:type="dxa" w:w="100"/>
              <w:left w:type="dxa" w:w="120"/>
              <w:bottom w:type="dxa" w:w="100"/>
              <w:right w:type="dxa" w:w="120"/>
            </w:tcMar>
            <w:vAlign w:val="center"/>
          </w:tcPr>
          <w:p>
            <w:pPr>
              <w:jc w:val="left"/>
            </w:pPr>
            <w:r>
              <w:rPr>
                <w:b/>
                <w:bCs/>
                <w:color w:val="FFFFFF"/>
                <w:sz w:val="19"/>
                <w:szCs w:val="19"/>
              </w:rPr>
              <w:t xml:space="preserve">Giai đoạn 1 (MVP)</w:t>
            </w:r>
          </w:p>
        </w:tc>
        <w:tc>
          <w:tcPr>
            <w:tcW w:type="pct" w:w="35%"/>
            <w:shd w:fill="0F2A4A" w:color="auto" w:val="clear"/>
            <w:tcMar>
              <w:top w:type="dxa" w:w="100"/>
              <w:left w:type="dxa" w:w="120"/>
              <w:bottom w:type="dxa" w:w="100"/>
              <w:right w:type="dxa" w:w="120"/>
            </w:tcMar>
            <w:vAlign w:val="center"/>
          </w:tcPr>
          <w:p>
            <w:pPr>
              <w:jc w:val="left"/>
            </w:pPr>
            <w:r>
              <w:rPr>
                <w:b/>
                <w:bCs/>
                <w:color w:val="FFFFFF"/>
                <w:sz w:val="19"/>
                <w:szCs w:val="19"/>
              </w:rPr>
              <w:t xml:space="preserve">Giai đoạn 2 (mở rộng)</w:t>
            </w:r>
          </w:p>
        </w:tc>
      </w:tr>
      <w:tr>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Compute</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1 VPS Ubuntu</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Azure App Service (PaaS) — auto-scale theo lượng truy cập</w:t>
            </w:r>
          </w:p>
        </w:tc>
      </w:tr>
      <w:tr>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Database</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SQL Server 2025 Express trên VPS</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Azure SQL Database — managed, backup tự động, SLA 99.99%, vẫn giữ nguyên Temporal Tables (tính năng chuẩn SQL Server, không đổi khi migrate)</w:t>
            </w:r>
          </w:p>
        </w:tc>
      </w:tr>
      <w:tr>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Object Storage</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AWS S3 / Cloudflare R2</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Azure Blob Storage — tích hợp bảo mật Azure AD, hoặc giữ nguyên R2 nếu chi phí băng thông vẫn tối ưu hơn</w:t>
            </w:r>
          </w:p>
        </w:tc>
      </w:tr>
      <w:tr>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AI/OCR</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Google Document AI + Gemini/Claude API công khai</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Azure AI Document Intelligence + Azure OpenAI Service — cam kết dữ liệu không dùng huấn luyện mô hình chung, hỗ trợ tuân thủ GDPR khi mạng lưới buyer EU mở rộng</w:t>
            </w:r>
          </w:p>
        </w:tc>
      </w:tr>
      <w:tr>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Giao tiếp nội bộ</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In-process (MediatR, gọi hàm trực tiếp)</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Thêm BFF/API Gateway (REST) phía trước + Event Bus (Azure Service Bus/RabbitMQ) cho domain event giữa monolith còn lại và service đã tách</w:t>
            </w:r>
          </w:p>
        </w:tc>
      </w:tr>
    </w:tbl>
    <w:p>
      <w:pPr>
        <w:spacing w:after="200" w:before="100"/>
      </w:pPr>
      <w:r>
        <w:rPr>
          <w:i/>
          <w:iCs/>
          <w:color w:val="5A6472"/>
          <w:sz w:val="19"/>
          <w:szCs w:val="19"/>
        </w:rPr>
        <w:t xml:space="preserve">Vì Database và Compute đều migrate sang dịch vụ managed cùng hệ sinh thái .NET/SQL Server, không có bước "đổi công nghệ" nào ở Giai đoạn 2 — chỉ đổi nơi vận hành. Đây là lý do quyết định chọn stack .NET trong proposal (tận dụng năng lực sẵn có của đội ngũ) mang lại lợi ích kép: vừa nhanh cho MVP, vừa không tạo nợ kỹ thuật khi scale.</w:t>
      </w:r>
    </w:p>
    <w:p>
      <w:pPr>
        <w:pStyle w:val="Heading2"/>
        <w:spacing w:after="140" w:before="320"/>
      </w:pPr>
      <w:r>
        <w:t xml:space="preserve">8.3. Domain Events cho kiến trúc hướng sự kiện (Giai đoạn 2)</w:t>
      </w:r>
    </w:p>
    <w:p>
      <w:pPr>
        <w:spacing w:after="140" w:line="300"/>
      </w:pPr>
      <w:r>
        <w:rPr>
          <w:sz w:val="21"/>
          <w:szCs w:val="21"/>
        </w:rPr>
        <w:t xml:space="preserve">Các domain event đã được publish nội bộ qua MediatR ngay từ MVP (Mục 3) là chính là hợp đồng sẽ chuyển thẳng sang Event Bus thật khi cần — không cần thiết kế lại:</w:t>
      </w:r>
    </w:p>
    <w:p>
      <w:pPr>
        <w:pStyle w:val="ListParagraph"/>
        <w:numPr>
          <w:ilvl w:val="0"/>
          <w:numId w:val="1"/>
        </w:numPr>
        <w:spacing w:after="80"/>
      </w:pPr>
      <w:r>
        <w:rPr>
          <w:sz w:val="21"/>
          <w:szCs w:val="21"/>
        </w:rPr>
        <w:t xml:space="preserve">EvidenceSubmitted — kích hoạt AI Trust Co-pilot pipeline (đã bất đồng bộ sẵn từ MVP).</w:t>
      </w:r>
    </w:p>
    <w:p>
      <w:pPr>
        <w:pStyle w:val="ListParagraph"/>
        <w:numPr>
          <w:ilvl w:val="0"/>
          <w:numId w:val="1"/>
        </w:numPr>
        <w:spacing w:after="80"/>
      </w:pPr>
      <w:r>
        <w:rPr>
          <w:sz w:val="21"/>
          <w:szCs w:val="21"/>
        </w:rPr>
        <w:t xml:space="preserve">VerificationLevelChanged — kích hoạt cập nhật Tag, Notification, và (Giai đoạn 2) đồng bộ dữ liệu sang service Matching nếu tách riêng.</w:t>
      </w:r>
    </w:p>
    <w:p>
      <w:pPr>
        <w:pStyle w:val="ListParagraph"/>
        <w:numPr>
          <w:ilvl w:val="0"/>
          <w:numId w:val="1"/>
        </w:numPr>
        <w:spacing w:after="80"/>
      </w:pPr>
      <w:r>
        <w:rPr>
          <w:sz w:val="21"/>
          <w:szCs w:val="21"/>
        </w:rPr>
        <w:t xml:space="preserve">RiskScored — kích hoạt cập nhật Admin Queue, và (Giai đoạn 2) có thể kích hoạt cảnh báo real-time nếu risk score vượt ngưỡng cấu hình.</w:t>
      </w:r>
    </w:p>
    <w:p>
      <w:pPr>
        <w:pStyle w:val="Heading2"/>
        <w:spacing w:after="140" w:before="320"/>
      </w:pPr>
      <w:r>
        <w:t xml:space="preserve">8.4. Lộ trình di động (Web → App)</w:t>
      </w:r>
    </w:p>
    <w:p>
      <w:pPr>
        <w:spacing w:after="140" w:line="300"/>
      </w:pPr>
      <w:r>
        <w:rPr>
          <w:sz w:val="21"/>
          <w:szCs w:val="21"/>
        </w:rPr>
        <w:t xml:space="preserve">Đúng phương án trong proposal, di động đi 2 bước rõ ràng, không nhảy thẳng vào Native App khi chưa cần:</w:t>
      </w:r>
    </w:p>
    <w:p>
      <w:pPr>
        <w:pStyle w:val="ListParagraph"/>
        <w:numPr>
          <w:ilvl w:val="0"/>
          <w:numId w:val="1"/>
        </w:numPr>
        <w:spacing w:after="80"/>
      </w:pPr>
      <w:r>
        <w:rPr>
          <w:sz w:val="21"/>
          <w:szCs w:val="21"/>
        </w:rPr>
        <w:t xml:space="preserve">Giai đoạn 1 (MVP, P0): PWA từ chính Blazor Server — cài được lên màn hình chính tại SIAL Paris mà không qua kiểm duyệt App Store, đủ cho nhu cầu trình diễn và sử dụng thực tế trong 10 ngày.</w:t>
      </w:r>
    </w:p>
    <w:p>
      <w:pPr>
        <w:pStyle w:val="ListParagraph"/>
        <w:numPr>
          <w:ilvl w:val="0"/>
          <w:numId w:val="1"/>
        </w:numPr>
        <w:spacing w:after="80"/>
      </w:pPr>
      <w:r>
        <w:rPr>
          <w:sz w:val="21"/>
          <w:szCs w:val="21"/>
        </w:rPr>
        <w:t xml:space="preserve">Giai đoạn 2 (sau MVP, khi cần khai thác phần cứng thiết bị — camera chụp giấy phép, push notification RFQ mới): nâng cấp lên .NET MAUI Blazor Hybrid, tái sử dụng ~100% Razor Components đã viết cho web — không viết lại UI, chỉ thêm lớp truy cập native API.</w:t>
      </w:r>
    </w:p>
    <w:p>
      <w:pPr>
        <w:spacing w:after="200" w:before="100"/>
      </w:pPr>
      <w:r>
        <w:rPr>
          <w:i/>
          <w:iCs/>
          <w:color w:val="5A6472"/>
          <w:sz w:val="19"/>
          <w:szCs w:val="19"/>
        </w:rPr>
        <w:t xml:space="preserve">Vì Blazor Hybrid và Blazor Server dùng chung component model, đội không cần kỹ năng mới (React Native, Flutter...) để làm bước này — đúng nguyên tắc kiến trúc #5 (đồng bộ 1 codebase Web/App) và giảm rủi ro ramp-up công nghệ mà đội ngũ .NET/C# hiện có đã tránh được ngay từ MVP.</w:t>
      </w:r>
    </w:p>
    <w:p>
      <w:pPr>
        <w:pStyle w:val="Heading2"/>
        <w:spacing w:after="140" w:before="320"/>
      </w:pPr>
      <w:r>
        <w:t xml:space="preserve">8.5. Mở rộng đa thị trường (Market Verification Profile P2)</w:t>
      </w:r>
    </w:p>
    <w:p>
      <w:pPr>
        <w:spacing w:after="140" w:line="300"/>
      </w:pPr>
      <w:r>
        <w:rPr>
          <w:sz w:val="21"/>
          <w:szCs w:val="21"/>
        </w:rPr>
        <w:t xml:space="preserve">Vì cơ chế Profile Inheritance đã được build đầy đủ từ MVP (Mục 4.3), mở thị trường mới ở Giai đoạn 2 (KR/TW/CN/ME, hoặc các nước con trong EU như EU_DE) là thao tác cấu hình, không phải phát triển tính năng:</w:t>
      </w:r>
    </w:p>
    <w:p>
      <w:pPr>
        <w:pStyle w:val="ListParagraph"/>
        <w:numPr>
          <w:ilvl w:val="0"/>
          <w:numId w:val="1"/>
        </w:numPr>
        <w:spacing w:after="80"/>
      </w:pPr>
      <w:r>
        <w:rPr>
          <w:sz w:val="21"/>
          <w:szCs w:val="21"/>
        </w:rPr>
        <w:t xml:space="preserve">Bước 1: thêm 1 bản ghi MarketVerificationProfile mới (JSON identity rules + mandatory certifications).</w:t>
      </w:r>
    </w:p>
    <w:p>
      <w:pPr>
        <w:pStyle w:val="ListParagraph"/>
        <w:numPr>
          <w:ilvl w:val="0"/>
          <w:numId w:val="1"/>
        </w:numPr>
        <w:spacing w:after="80"/>
      </w:pPr>
      <w:r>
        <w:rPr>
          <w:sz w:val="21"/>
          <w:szCs w:val="21"/>
        </w:rPr>
        <w:t xml:space="preserve">Bước 2: implement 1 IVerificationAdapter mới nếu thị trường có API tra cứu công khai (nếu chưa có, dùng UPLOAD_DOCUMENT + xác minh thủ công Admin — đã hỗ trợ sẵn như với L2/L3 ở MVP).</w:t>
      </w:r>
    </w:p>
    <w:p>
      <w:pPr>
        <w:pStyle w:val="ListParagraph"/>
        <w:numPr>
          <w:ilvl w:val="0"/>
          <w:numId w:val="1"/>
        </w:numPr>
        <w:spacing w:after="80"/>
      </w:pPr>
      <w:r>
        <w:rPr>
          <w:sz w:val="21"/>
          <w:szCs w:val="21"/>
        </w:rPr>
        <w:t xml:space="preserve">Không cần: sửa Level Rule Engine, sửa UI Company Portal, sửa Matching Engine — toàn bộ đọc Profile động.</w:t>
      </w:r>
    </w:p>
    <w:p>
      <w:pPr>
        <w:pStyle w:val="Heading1"/>
        <w:pBdr>
          <w:bottom w:val="single" w:color="0F2A4A" w:sz="8" w:space="4"/>
        </w:pBdr>
        <w:spacing w:after="200" w:before="400"/>
      </w:pPr>
      <w:r>
        <w:t xml:space="preserve">9. Yêu cầu phi chức năng (Non-Functional Requirements)</w:t>
      </w:r>
    </w:p>
    <w:p>
      <w:pPr>
        <w:spacing w:after="140" w:line="300"/>
      </w:pPr>
      <w:r>
        <w:rPr>
          <w:sz w:val="21"/>
          <w:szCs w:val="21"/>
        </w:rPr>
        <w:t xml:space="preserve">Mục tiêu tham chiếu cho MVP — đủ nghiêm túc để chạy thật tại SIAL Paris, không đặt mục tiêu doanh nghiệp lớn (điều này tương xứng quy mô 15–20 doanh nghiệp, 5–10 buyer/Provider nêu trong proposal):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
        <w:gridCol w:w="22"/>
        <w:gridCol w:w="50"/>
      </w:tblGrid>
      <w:tr>
        <w:tc>
          <w:tcPr>
            <w:tcW w:type="pct" w:w="28%"/>
            <w:shd w:fill="0F2A4A" w:color="auto" w:val="clear"/>
            <w:tcMar>
              <w:top w:type="dxa" w:w="100"/>
              <w:left w:type="dxa" w:w="120"/>
              <w:bottom w:type="dxa" w:w="100"/>
              <w:right w:type="dxa" w:w="120"/>
            </w:tcMar>
            <w:vAlign w:val="center"/>
          </w:tcPr>
          <w:p>
            <w:pPr>
              <w:jc w:val="left"/>
            </w:pPr>
            <w:r>
              <w:rPr>
                <w:b/>
                <w:bCs/>
                <w:color w:val="FFFFFF"/>
                <w:sz w:val="19"/>
                <w:szCs w:val="19"/>
              </w:rPr>
              <w:t xml:space="preserve">Hạng mục</w:t>
            </w:r>
          </w:p>
        </w:tc>
        <w:tc>
          <w:tcPr>
            <w:tcW w:type="pct" w:w="22%"/>
            <w:shd w:fill="0F2A4A" w:color="auto" w:val="clear"/>
            <w:tcMar>
              <w:top w:type="dxa" w:w="100"/>
              <w:left w:type="dxa" w:w="120"/>
              <w:bottom w:type="dxa" w:w="100"/>
              <w:right w:type="dxa" w:w="120"/>
            </w:tcMar>
            <w:vAlign w:val="center"/>
          </w:tcPr>
          <w:p>
            <w:pPr>
              <w:jc w:val="left"/>
            </w:pPr>
            <w:r>
              <w:rPr>
                <w:b/>
                <w:bCs/>
                <w:color w:val="FFFFFF"/>
                <w:sz w:val="19"/>
                <w:szCs w:val="19"/>
              </w:rPr>
              <w:t xml:space="preserve">Mục tiêu MVP</w:t>
            </w:r>
          </w:p>
        </w:tc>
        <w:tc>
          <w:tcPr>
            <w:tcW w:type="pct" w:w="50%"/>
            <w:shd w:fill="0F2A4A" w:color="auto" w:val="clear"/>
            <w:tcMar>
              <w:top w:type="dxa" w:w="100"/>
              <w:left w:type="dxa" w:w="120"/>
              <w:bottom w:type="dxa" w:w="100"/>
              <w:right w:type="dxa" w:w="120"/>
            </w:tcMar>
            <w:vAlign w:val="center"/>
          </w:tcPr>
          <w:p>
            <w:pPr>
              <w:jc w:val="left"/>
            </w:pPr>
            <w:r>
              <w:rPr>
                <w:b/>
                <w:bCs/>
                <w:color w:val="FFFFFF"/>
                <w:sz w:val="19"/>
                <w:szCs w:val="19"/>
              </w:rPr>
              <w:t xml:space="preserve">Ghi chú</w:t>
            </w:r>
          </w:p>
        </w:tc>
      </w:tr>
      <w:tr>
        <w:tc>
          <w:tcPr>
            <w:tcW w:type="pct" w:w="2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Thời gian phản hồi trang</w:t>
            </w:r>
          </w:p>
        </w:tc>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&lt; 2s cho 95% request</w:t>
            </w:r>
          </w:p>
        </w:tc>
        <w:tc>
          <w:tcPr>
            <w:tcW w:type="pct" w:w="5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Blazor Server qua SignalR — cần kiểm tra độ trễ mạng VN↔Singapore↔EU khi demo tại SIAL Paris.</w:t>
            </w:r>
          </w:p>
        </w:tc>
      </w:tr>
      <w:tr>
        <w:tc>
          <w:tcPr>
            <w:tcW w:type="pct" w:w="2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Xử lý AI Co-pilot</w:t>
            </w:r>
          </w:p>
        </w:tc>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&lt; 60s từ upload đến có risk score</w:t>
            </w:r>
          </w:p>
        </w:tc>
        <w:tc>
          <w:tcPr>
            <w:tcW w:type="pct" w:w="5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Chạy bất đồng bộ — người dùng không chờ, Admin thấy kết quả khi vào queue.</w:t>
            </w:r>
          </w:p>
        </w:tc>
      </w:tr>
      <w:tr>
        <w:tc>
          <w:tcPr>
            <w:tcW w:type="pct" w:w="2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Uptime trong tuần Launch/SIAL</w:t>
            </w:r>
          </w:p>
        </w:tc>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Best-effort, có giám sát chủ động</w:t>
            </w:r>
          </w:p>
        </w:tc>
        <w:tc>
          <w:tcPr>
            <w:tcW w:type="pct" w:w="5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Chưa cam kết SLA số vì hạ tầng VPS đơn — rủi ro này được nêu minh bạch trong Mục 11 và có phương án ở Giai đoạn 2.</w:t>
            </w:r>
          </w:p>
        </w:tc>
      </w:tr>
      <w:tr>
        <w:tc>
          <w:tcPr>
            <w:tcW w:type="pct" w:w="2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Khả năng chịu tải đồng thời</w:t>
            </w:r>
          </w:p>
        </w:tc>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20–30 người dùng đồng thời (phù hợp quy mô demo/pilot)</w:t>
            </w:r>
          </w:p>
        </w:tc>
        <w:tc>
          <w:tcPr>
            <w:tcW w:type="pct" w:w="5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1 VPS 2 vCPU/8–16GB đủ cho ngưỡng này với Blazor Server (giữ kết nối SignalR thường trực) — cần load test trước 30/09.</w:t>
            </w:r>
          </w:p>
        </w:tc>
      </w:tr>
      <w:tr>
        <w:tc>
          <w:tcPr>
            <w:tcW w:type="pct" w:w="2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Toàn vẹn Audit Trail</w:t>
            </w:r>
          </w:p>
        </w:tc>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100% — không có đường code hoặc quyền DB nào sửa được lịch sử</w:t>
            </w:r>
          </w:p>
        </w:tc>
        <w:tc>
          <w:tcPr>
            <w:tcW w:type="pct" w:w="5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Thực thi bằng SQL Server Temporal Tables ở tầng engine (Mục 4.2), không chỉ ở logic ứng dụng.</w:t>
            </w:r>
          </w:p>
        </w:tc>
      </w:tr>
      <w:tr>
        <w:tc>
          <w:tcPr>
            <w:tcW w:type="pct" w:w="2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Khả năng phục hồi</w:t>
            </w:r>
          </w:p>
        </w:tc>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RPO ≤ 24h, RTO ≤ vài giờ ở MVP</w:t>
            </w:r>
          </w:p>
        </w:tc>
        <w:tc>
          <w:tcPr>
            <w:tcW w:type="pct" w:w="5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Snapshot VPS + backup SQL Server theo lịch (Mục 6 proposal) — nâng lên RPO gần 0 khi chuyển Azure SQL Giai đoạn 2.</w:t>
            </w:r>
          </w:p>
        </w:tc>
      </w:tr>
    </w:tbl>
    <w:p>
      <w:pPr>
        <w:pStyle w:val="Heading1"/>
        <w:pBdr>
          <w:bottom w:val="single" w:color="0F2A4A" w:sz="8" w:space="4"/>
        </w:pBdr>
        <w:spacing w:after="200" w:before="400"/>
      </w:pPr>
      <w:r>
        <w:t xml:space="preserve">10. Ánh xạ kiến trúc theo Sprint &amp; P0/P1/P2</w:t>
      </w:r>
    </w:p>
    <w:p>
      <w:pPr>
        <w:spacing w:after="140" w:line="300"/>
      </w:pPr>
      <w:r>
        <w:rPr>
          <w:sz w:val="21"/>
          <w:szCs w:val="21"/>
        </w:rPr>
        <w:t xml:space="preserve">Bảng dưới giúp đội build biết chính xác cấu phần kiến trúc nào cần xong ở mỗi mốc, tránh vừa build vừa suy nghĩ lại ranh giới module giữa chừng — rủi ro lớn nhất với timeline 10 ngày: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
        <w:gridCol w:w="22"/>
        <w:gridCol w:w="60"/>
      </w:tblGrid>
      <w:tr>
        <w:tc>
          <w:tcPr>
            <w:tcW w:type="pct" w:w="18%"/>
            <w:shd w:fill="0F2A4A" w:color="auto" w:val="clear"/>
            <w:tcMar>
              <w:top w:type="dxa" w:w="100"/>
              <w:left w:type="dxa" w:w="120"/>
              <w:bottom w:type="dxa" w:w="100"/>
              <w:right w:type="dxa" w:w="120"/>
            </w:tcMar>
            <w:vAlign w:val="center"/>
          </w:tcPr>
          <w:p>
            <w:pPr>
              <w:jc w:val="left"/>
            </w:pPr>
            <w:r>
              <w:rPr>
                <w:b/>
                <w:bCs/>
                <w:color w:val="FFFFFF"/>
                <w:sz w:val="19"/>
                <w:szCs w:val="19"/>
              </w:rPr>
              <w:t xml:space="preserve">Mốc</w:t>
            </w:r>
          </w:p>
        </w:tc>
        <w:tc>
          <w:tcPr>
            <w:tcW w:type="pct" w:w="22%"/>
            <w:shd w:fill="0F2A4A" w:color="auto" w:val="clear"/>
            <w:tcMar>
              <w:top w:type="dxa" w:w="100"/>
              <w:left w:type="dxa" w:w="120"/>
              <w:bottom w:type="dxa" w:w="100"/>
              <w:right w:type="dxa" w:w="120"/>
            </w:tcMar>
            <w:vAlign w:val="center"/>
          </w:tcPr>
          <w:p>
            <w:pPr>
              <w:jc w:val="left"/>
            </w:pPr>
            <w:r>
              <w:rPr>
                <w:b/>
                <w:bCs/>
                <w:color w:val="FFFFFF"/>
                <w:sz w:val="19"/>
                <w:szCs w:val="19"/>
              </w:rPr>
              <w:t xml:space="preserve">Sprint</w:t>
            </w:r>
          </w:p>
        </w:tc>
        <w:tc>
          <w:tcPr>
            <w:tcW w:type="pct" w:w="60%"/>
            <w:shd w:fill="0F2A4A" w:color="auto" w:val="clear"/>
            <w:tcMar>
              <w:top w:type="dxa" w:w="100"/>
              <w:left w:type="dxa" w:w="120"/>
              <w:bottom w:type="dxa" w:w="100"/>
              <w:right w:type="dxa" w:w="120"/>
            </w:tcMar>
            <w:vAlign w:val="center"/>
          </w:tcPr>
          <w:p>
            <w:pPr>
              <w:jc w:val="left"/>
            </w:pPr>
            <w:r>
              <w:rPr>
                <w:b/>
                <w:bCs/>
                <w:color w:val="FFFFFF"/>
                <w:sz w:val="19"/>
                <w:szCs w:val="19"/>
              </w:rPr>
              <w:t xml:space="preserve">Cấu phần kiến trúc cần hoàn thành</w:t>
            </w:r>
          </w:p>
        </w:tc>
      </w:tr>
      <w:tr>
        <w:tc>
          <w:tcPr>
            <w:tcW w:type="pct" w:w="1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17–19/09</w:t>
            </w:r>
          </w:p>
        </w:tc>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Chuẩn bị</w:t>
            </w:r>
          </w:p>
        </w:tc>
        <w:tc>
          <w:tcPr>
            <w:tcW w:type="pct" w:w="6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Khởi tạo repo, cấu trúc solution modular monolith (7 module như Mục 3), CI/CD skeleton, dựng VPS + SQL Server + Object Storage, seed 2 Market Verification Profile.</w:t>
            </w:r>
          </w:p>
        </w:tc>
      </w:tr>
      <w:tr>
        <w:tc>
          <w:tcPr>
            <w:tcW w:type="pct" w:w="1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20–24/09</w:t>
            </w:r>
          </w:p>
        </w:tc>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Sprint 1</w:t>
            </w:r>
          </w:p>
        </w:tc>
        <w:tc>
          <w:tcPr>
            <w:tcW w:type="pct" w:w="6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Identity &amp; RBAC, Company Profile &amp; Capability, Verification Engine (L0–L1 tự động qua adapter), Admin Console khung (XAF), Matching cơ bản (rule-based). Đây là toàn bộ "xương sống" đường đi dữ liệu Company → Verification → Admin.</w:t>
            </w:r>
          </w:p>
        </w:tc>
      </w:tr>
      <w:tr>
        <w:tc>
          <w:tcPr>
            <w:tcW w:type="pct" w:w="1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25/09</w:t>
            </w:r>
          </w:p>
        </w:tc>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Review giữa kỳ</w:t>
            </w:r>
          </w:p>
        </w:tc>
        <w:tc>
          <w:tcPr>
            <w:tcW w:type="pct" w:w="6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Demo luồng Company + Admin chạy thật trên P0 — đúng lúc kiểm tra ranh giới module (Mục 3) có bị vi phạm chưa (VD Matching có đang query thẳng bảng Verification không, thay vì qua interface).</w:t>
            </w:r>
          </w:p>
        </w:tc>
      </w:tr>
      <w:tr>
        <w:tc>
          <w:tcPr>
            <w:tcW w:type="pct" w:w="1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26–29/09</w:t>
            </w:r>
          </w:p>
        </w:tc>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Sprint 2</w:t>
            </w:r>
          </w:p>
        </w:tc>
        <w:tc>
          <w:tcPr>
            <w:tcW w:type="pct" w:w="6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Hoàn thiện P0 còn lại (RFQ, Free→Member) + P1 trong khả năng: AI Trust Co-pilot pipeline đầy đủ (Mục 5.3), Provider directory, L3 review thủ công. Kích hoạt background job Hangfire cho scoring bất đồng bộ.</w:t>
            </w:r>
          </w:p>
        </w:tc>
      </w:tr>
      <w:tr>
        <w:tc>
          <w:tcPr>
            <w:tcW w:type="pct" w:w="1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30/09</w:t>
            </w:r>
          </w:p>
        </w:tc>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MVP end-to-end</w:t>
            </w:r>
          </w:p>
        </w:tc>
        <w:tc>
          <w:tcPr>
            <w:tcW w:type="pct" w:w="6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Bàn giao theo đúng Mục 6 proposal: mã nguồn, tài khoản hạ tầng, script deploy, tài liệu kiến trúc (chính là tài liệu này), danh sách giả định/giới hạn hiện tại.</w:t>
            </w:r>
          </w:p>
        </w:tc>
      </w:tr>
      <w:tr>
        <w:tc>
          <w:tcPr>
            <w:tcW w:type="pct" w:w="1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01–09/10</w:t>
            </w:r>
          </w:p>
        </w:tc>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Hoàn thiện</w:t>
            </w:r>
          </w:p>
        </w:tc>
        <w:tc>
          <w:tcPr>
            <w:tcW w:type="pct" w:w="6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Load test (mục tiêu NFR Mục 9), hoàn thiện P1 dang dở, rà lại toàn bộ Audit Trail trước Launch.</w:t>
            </w:r>
          </w:p>
        </w:tc>
      </w:tr>
      <w:tr>
        <w:tc>
          <w:tcPr>
            <w:tcW w:type="pct" w:w="1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10/10</w:t>
            </w:r>
          </w:p>
        </w:tc>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Launch v1</w:t>
            </w:r>
          </w:p>
        </w:tc>
        <w:tc>
          <w:tcPr>
            <w:tcW w:type="pct" w:w="6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Giám sát chủ động (health check, log) trong tuần đầu — đây là lúc dữ liệu thật đầu tiên đổ vào, ưu tiên phát hiện sớm lệch dữ liệu hơn thêm tính năng mới.</w:t>
            </w:r>
          </w:p>
        </w:tc>
      </w:tr>
      <w:tr>
        <w:tc>
          <w:tcPr>
            <w:tcW w:type="pct" w:w="18%"/>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17–21/10</w:t>
            </w:r>
          </w:p>
        </w:tc>
        <w:tc>
          <w:tcPr>
            <w:tcW w:type="pct" w:w="22%"/>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SIAL Paris</w:t>
            </w:r>
          </w:p>
        </w:tc>
        <w:tc>
          <w:tcPr>
            <w:tcW w:type="pct" w:w="6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Không thay đổi kiến trúc trong tuần sự kiện — chỉ vận hành, thu thập phản hồi làm input cho quyết định Giai đoạn 2 (Mục 8).</w:t>
            </w:r>
          </w:p>
        </w:tc>
      </w:tr>
    </w:tbl>
    <w:p>
      <w:pPr>
        <w:pStyle w:val="Heading1"/>
        <w:pBdr>
          <w:bottom w:val="single" w:color="0F2A4A" w:sz="8" w:space="4"/>
        </w:pBdr>
        <w:spacing w:after="200" w:before="400"/>
      </w:pPr>
      <w:r>
        <w:t xml:space="preserve">11. Rủi ro kiến trúc &amp; biện pháp giảm thiểu</w:t>
      </w:r>
    </w:p>
    <w:p>
      <w:pPr>
        <w:spacing w:after="140" w:line="300"/>
      </w:pPr>
      <w:r>
        <w:rPr>
          <w:sz w:val="21"/>
          <w:szCs w:val="21"/>
        </w:rPr>
        <w:t xml:space="preserve">Bổ sung góc nhìn kiến trúc sư cho các rủi ro kỹ thuật đã nêu ở Mục 9 proposal — tập trung vào rủi ro phát sinh từ chính các quyết định thiết kế ở tài liệu này: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35"/>
        <w:gridCol w:w="35"/>
      </w:tblGrid>
      <w:tr>
        <w:tc>
          <w:tcPr>
            <w:tcW w:type="pct" w:w="30%"/>
            <w:shd w:fill="0F2A4A" w:color="auto" w:val="clear"/>
            <w:tcMar>
              <w:top w:type="dxa" w:w="100"/>
              <w:left w:type="dxa" w:w="120"/>
              <w:bottom w:type="dxa" w:w="100"/>
              <w:right w:type="dxa" w:w="120"/>
            </w:tcMar>
            <w:vAlign w:val="center"/>
          </w:tcPr>
          <w:p>
            <w:pPr>
              <w:jc w:val="left"/>
            </w:pPr>
            <w:r>
              <w:rPr>
                <w:b/>
                <w:bCs/>
                <w:color w:val="FFFFFF"/>
                <w:sz w:val="19"/>
                <w:szCs w:val="19"/>
              </w:rPr>
              <w:t xml:space="preserve">Rủi ro kiến trúc</w:t>
            </w:r>
          </w:p>
        </w:tc>
        <w:tc>
          <w:tcPr>
            <w:tcW w:type="pct" w:w="35%"/>
            <w:shd w:fill="0F2A4A" w:color="auto" w:val="clear"/>
            <w:tcMar>
              <w:top w:type="dxa" w:w="100"/>
              <w:left w:type="dxa" w:w="120"/>
              <w:bottom w:type="dxa" w:w="100"/>
              <w:right w:type="dxa" w:w="120"/>
            </w:tcMar>
            <w:vAlign w:val="center"/>
          </w:tcPr>
          <w:p>
            <w:pPr>
              <w:jc w:val="left"/>
            </w:pPr>
            <w:r>
              <w:rPr>
                <w:b/>
                <w:bCs/>
                <w:color w:val="FFFFFF"/>
                <w:sz w:val="19"/>
                <w:szCs w:val="19"/>
              </w:rPr>
              <w:t xml:space="preserve">Nguyên nhân</w:t>
            </w:r>
          </w:p>
        </w:tc>
        <w:tc>
          <w:tcPr>
            <w:tcW w:type="pct" w:w="35%"/>
            <w:shd w:fill="0F2A4A" w:color="auto" w:val="clear"/>
            <w:tcMar>
              <w:top w:type="dxa" w:w="100"/>
              <w:left w:type="dxa" w:w="120"/>
              <w:bottom w:type="dxa" w:w="100"/>
              <w:right w:type="dxa" w:w="120"/>
            </w:tcMar>
            <w:vAlign w:val="center"/>
          </w:tcPr>
          <w:p>
            <w:pPr>
              <w:jc w:val="left"/>
            </w:pPr>
            <w:r>
              <w:rPr>
                <w:b/>
                <w:bCs/>
                <w:color w:val="FFFFFF"/>
                <w:sz w:val="19"/>
                <w:szCs w:val="19"/>
              </w:rPr>
              <w:t xml:space="preserve">Biện pháp giảm thiểu</w:t>
            </w:r>
          </w:p>
        </w:tc>
      </w:tr>
      <w:tr>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Vi phạm ranh giới module dưới áp lực deadline</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10 ngày Sprint core dễ khiến kỹ sư "tiện tay" query thẳng bảng module khác cho nhanh.</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Code review bắt buộc kiểm tra điểm này; review giữa kỳ 25/09 dùng đúng để phát hiện sớm (Mục 10); có thể thêm architecture test tự động (VD NetArchTest) kiểm tra không có reference chéo giữa DbContext các module.</w:t>
            </w:r>
          </w:p>
        </w:tc>
      </w:tr>
      <w:tr>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1 VPS là điểm lỗi đơn (single point of failure)</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Tối ưu chi phí MVP chấp nhận đánh đổi độ sẵn sàng.</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Minh bạch với DFL24 (đã nêu ở Mục 9 proposal); có backup + snapshot; đây chính là trigger rõ ràng nhất cho quyết định chuyển Giai đoạn 2 nếu Launch cho thấy tải thực tế vượt ngưỡng.</w:t>
            </w:r>
          </w:p>
        </w:tc>
      </w:tr>
      <w:tr>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Denormalized InheritedTrustLevel trên Tag lệch dữ liệu</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Cập nhật qua domain event bất đồng bộ trong tiến trình — có độ trễ vài trăm ms, và về lý thuyết có thể mất event nếu process crash đúng lúc.</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Có job định kỳ (nightly reconciliation) đối chiếu lại Tag.InheritedTrustLevel với VerificationRecord mới nhất — tự sửa lệch nếu có; log cảnh báo nếu phát hiện lệch để điều tra nguyên nhân.</w:t>
            </w:r>
          </w:p>
        </w:tc>
      </w:tr>
      <w:tr>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Phụ thuộc DevExpress XAF license/trial</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Nêu trong Mục 9 proposal là rủi ro chi phí — về kiến trúc, đây cũng là rủi ro "khoá nhà cung cấp" (vendor lock-in) cho riêng Admin Console.</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Admin Console được thiết kế là 1 module riêng biệt, giao tiếp với Domain Service Layer qua cùng interface MediatR như mọi client khác (Mục 5.1) — nếu cần thay thế XAF, chỉ ảnh hưởng lớp UI của module Admin, không ảnh hưởng domain logic hay dữ liệu.</w:t>
            </w:r>
          </w:p>
        </w:tc>
      </w:tr>
      <w:tr>
        <w:tc>
          <w:tcPr>
            <w:tcW w:type="pct" w:w="30%"/>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Prompt LLM thay đổi hành vi khi nhà cung cấp update model</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Cross-source Consistency (Mục 5.3) phụ thuộc structured output ổn định từ LLM API ngoài.</w:t>
            </w:r>
          </w:p>
        </w:tc>
        <w:tc>
          <w:tcPr>
            <w:tcW w:type="pct" w:w="35%"/>
            <w:tcMar>
              <w:top w:type="dxa" w:w="90"/>
              <w:left w:type="dxa" w:w="120"/>
              <w:bottom w:type="dxa" w:w="90"/>
              <w:right w:type="dxa" w:w="120"/>
            </w:tcMar>
            <w:vAlign w:val="center"/>
          </w:tcPr>
          <w:p>
            <w:pPr>
              <w:jc w:val="left"/>
            </w:pPr>
            <w:r>
              <w:rPr>
                <w:b w:val="false"/>
                <w:bCs w:val="false"/>
                <w:i w:val="false"/>
                <w:iCs w:val="false"/>
                <w:color w:val="1A1A1A"/>
                <w:sz w:val="19"/>
                <w:szCs w:val="19"/>
              </w:rPr>
              <w:t xml:space="preserve">Lưu ModelVersion trong RiskAssessment; có test snapshot (golden set các hồ sơ mẫu) chạy định kỳ để phát hiện sớm nếu output LLM đổi format hoặc chất lượng giảm.</w:t>
            </w:r>
          </w:p>
        </w:tc>
      </w:tr>
    </w:tbl>
    <w:p>
      <w:pPr>
        <w:pStyle w:val="Heading1"/>
        <w:pBdr>
          <w:bottom w:val="single" w:color="0F2A4A" w:sz="8" w:space="4"/>
        </w:pBdr>
        <w:spacing w:after="200" w:before="400"/>
      </w:pPr>
      <w:r>
        <w:t xml:space="preserve">12. Kết luận &amp; khuyến nghị</w:t>
      </w:r>
    </w:p>
    <w:p>
      <w:pPr>
        <w:spacing w:after="140" w:line="300"/>
      </w:pPr>
      <w:r>
        <w:rPr>
          <w:sz w:val="21"/>
          <w:szCs w:val="21"/>
        </w:rPr>
        <w:t xml:space="preserve">Kiến trúc modular monolith trên nền .NET (Blazor Server + DevExpress XAF + SQL Server Temporal Tables) là lựa chọn phù hợp cho ràng buộc kép của dự án: 10 ngày để có MVP chạy thật, và cam kết không viết lại nền tảng khi scale. Điều làm nên khả năng scale-up không phải là công nghệ đắt tiền ở MVP, mà là 3 quyết định thiết kế xuyên suốt tài liệu này:</w:t>
      </w:r>
    </w:p>
    <w:p>
      <w:pPr>
        <w:pStyle w:val="ListParagraph"/>
        <w:numPr>
          <w:ilvl w:val="0"/>
          <w:numId w:val="1"/>
        </w:numPr>
        <w:spacing w:after="80"/>
      </w:pPr>
      <w:r>
        <w:rPr>
          <w:sz w:val="21"/>
          <w:szCs w:val="21"/>
        </w:rPr>
        <w:t xml:space="preserve">Ranh giới module nghiêm ngặt ngay từ đầu (Mục 3) — điều kiện tiên quyết để tách microservice sau này mà không refactor domain logic.</w:t>
      </w:r>
    </w:p>
    <w:p>
      <w:pPr>
        <w:pStyle w:val="ListParagraph"/>
        <w:numPr>
          <w:ilvl w:val="0"/>
          <w:numId w:val="1"/>
        </w:numPr>
        <w:spacing w:after="80"/>
      </w:pPr>
      <w:r>
        <w:rPr>
          <w:sz w:val="21"/>
          <w:szCs w:val="21"/>
        </w:rPr>
        <w:t xml:space="preserve">Cấu hình thay vì code cứng cho Verification (Market Verification Profile, Mục 4.3) — điều kiện tiên quyết để mở rộng đa quốc gia mà không viết lại engine.</w:t>
      </w:r>
    </w:p>
    <w:p>
      <w:pPr>
        <w:pStyle w:val="ListParagraph"/>
        <w:numPr>
          <w:ilvl w:val="0"/>
          <w:numId w:val="1"/>
        </w:numPr>
        <w:spacing w:after="80"/>
      </w:pPr>
      <w:r>
        <w:rPr>
          <w:sz w:val="21"/>
          <w:szCs w:val="21"/>
        </w:rPr>
        <w:t xml:space="preserve">Hợp đồng interface độc lập với giao thức vận chuyển (MediatR, Mục 5.1) — điều kiện tiên quyết để thêm REST/gRPC cho Mobile App và đối tác ngoài mà không viết lại business logic.</w:t>
      </w:r>
    </w:p>
    <w:p>
      <w:pPr>
        <w:spacing w:after="140" w:line="300"/>
      </w:pPr>
      <w:r>
        <w:rPr>
          <w:sz w:val="21"/>
          <w:szCs w:val="21"/>
        </w:rPr>
        <w:t xml:space="preserve">Khuyến nghị cụ thể cho đội triển khai:</w:t>
      </w:r>
    </w:p>
    <w:p>
      <w:pPr>
        <w:pStyle w:val="ListParagraph"/>
        <w:numPr>
          <w:ilvl w:val="0"/>
          <w:numId w:val="1"/>
        </w:numPr>
        <w:spacing w:after="80"/>
      </w:pPr>
      <w:r>
        <w:rPr>
          <w:sz w:val="21"/>
          <w:szCs w:val="21"/>
        </w:rPr>
        <w:t xml:space="preserve">Ưu tiên dựng đúng "xương sống" ranh giới module trong Sprint 1 (20–24/09) trước khi tối ưu bất kỳ tính năng nào — sai ranh giới ở tuần đầu sẽ tốn chi phí sửa lớn hơn nhiều so với chậm 1–2 ngày để làm đúng.</w:t>
      </w:r>
    </w:p>
    <w:p>
      <w:pPr>
        <w:pStyle w:val="ListParagraph"/>
        <w:numPr>
          <w:ilvl w:val="0"/>
          <w:numId w:val="1"/>
        </w:numPr>
        <w:spacing w:after="80"/>
      </w:pPr>
      <w:r>
        <w:rPr>
          <w:sz w:val="21"/>
          <w:szCs w:val="21"/>
        </w:rPr>
        <w:t xml:space="preserve">Dùng đúng buổi Review giữa kỳ 25/09 như một "architecture checkpoint", không chỉ demo tính năng — đối chiếu với Mục 3 và Mục 10 của tài liệu này.</w:t>
      </w:r>
    </w:p>
    <w:p>
      <w:pPr>
        <w:pStyle w:val="ListParagraph"/>
        <w:numPr>
          <w:ilvl w:val="0"/>
          <w:numId w:val="1"/>
        </w:numPr>
        <w:spacing w:after="80"/>
      </w:pPr>
      <w:r>
        <w:rPr>
          <w:sz w:val="21"/>
          <w:szCs w:val="21"/>
        </w:rPr>
        <w:t xml:space="preserve">Quyết định chuyển Giai đoạn 2 (Mục 8) nên dựa trên dữ liệu thật thu thập được sau Launch (10/10) và SIAL Paris (17–21/10), không quyết định sớm hơn — đúng tinh thần "một luồng nhỏ chạy thật có giá trị hơn một nền tảng lớn chỉ dừng ở giao diện" mà proposal đã đặt ra ngay từ Mục 2.</w:t>
      </w:r>
    </w:p>
    <w:p>
      <w:pPr>
        <w:spacing w:after="140" w:line="300"/>
      </w:pPr>
      <w:r>
        <w:rPr>
          <w:sz w:val="21"/>
          <w:szCs w:val="21"/>
        </w:rPr>
        <w:t xml:space="preserve"/>
      </w:r>
    </w:p>
    <w:p>
      <w:pPr>
        <w:spacing w:after="200" w:before="100"/>
      </w:pPr>
      <w:r>
        <w:rPr>
          <w:i/>
          <w:iCs/>
          <w:color w:val="5A6472"/>
          <w:sz w:val="19"/>
          <w:szCs w:val="19"/>
        </w:rPr>
        <w:t xml:space="preserve">Tài liệu này nên được xem là bản sống (living document) — cập nhật cùng nhịp với các buổi checkpoint 18–19/09 và 25/09, phản ánh đúng thực tế build thay vì chỉ là kế hoạch ban đầu.</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5"/>
        <w:szCs w:val="15"/>
      </w:rPr>
      <w:t xml:space="preserve">Trang </w:t>
    </w:r>
    <w:r>
      <w:rPr>
        <w:color w:val="5A6472"/>
        <w:sz w:val="15"/>
        <w:szCs w:val="15"/>
      </w:rPr>
      <w:fldChar w:fldCharType="begin"/>
      <w:instrText xml:space="preserve">PAGE</w:instrText>
      <w:fldChar w:fldCharType="separate"/>
      <w:fldChar w:fldCharType="end"/>
    </w:r>
    <w:r>
      <w:rPr>
        <w:color w:val="5A6472"/>
        <w:sz w:val="15"/>
        <w:szCs w:val="15"/>
      </w:rPr>
      <w:t xml:space="preserve"> / </w:t>
    </w:r>
    <w:r>
      <w:rPr>
        <w:color w:val="5A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472"/>
        <w:sz w:val="15"/>
        <w:szCs w:val="15"/>
      </w:rPr>
      <w:t xml:space="preserve">VYBE Trade — Đặc tả kiến trúc hệ thống (MVP &amp; Scale-up)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2A4A"/>
      <w:sz w:val="30"/>
      <w:szCs w:val="30"/>
    </w:rPr>
  </w:style>
  <w:style w:type="paragraph" w:styleId="Heading2">
    <w:name w:val="Heading 2"/>
    <w:basedOn w:val="Normal"/>
    <w:next w:val="Normal"/>
    <w:qFormat/>
    <w:rPr>
      <w:rFonts w:ascii="Calibri" w:cs="Calibri" w:eastAsia="Calibri" w:hAnsi="Calibri"/>
      <w:b/>
      <w:bCs/>
      <w:color w:val="0E7D76"/>
      <w:sz w:val="25"/>
      <w:szCs w:val="25"/>
    </w:rPr>
  </w:style>
  <w:style w:type="paragraph" w:styleId="Heading3">
    <w:name w:val="Heading 3"/>
    <w:basedOn w:val="Normal"/>
    <w:next w:val="Normal"/>
    <w:qFormat/>
    <w:rPr>
      <w:rFonts w:ascii="Calibri" w:cs="Calibri" w:eastAsia="Calibri" w:hAnsi="Calibri"/>
      <w:b/>
      <w:bCs/>
      <w:color w:val="C056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5aa013fcf31407ad72cf76815c6d25edf65fc6.png"/><Relationship Id="rId10" Type="http://schemas.openxmlformats.org/officeDocument/2006/relationships/image" Target="media/a15d3352fdd40ee5dd71d4c7e1c95cda5ae03ae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2026-09-22T09:00:28.127Z</dcterms:created>
  <dcterms:modified xsi:type="dcterms:W3CDTF">2026-09-22T09:00:28.136Z</dcterms:modified>
</cp:coreProperties>
</file>

<file path=docProps/custom.xml><?xml version="1.0" encoding="utf-8"?>
<Properties xmlns="http://schemas.openxmlformats.org/officeDocument/2006/custom-properties" xmlns:vt="http://schemas.openxmlformats.org/officeDocument/2006/docPropsVTypes"/>
</file>