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size="9449,0" coordorigin="1615,441" filled="f" strokecolor="#333" strokeweight="1.5pt" path="m1615,441r9449,e">
            <v:path arrowok="t"/>
            <w10:wrap type="topAndBottom" anchorx="page"/>
          </v:shape>
        </w:pict>
      </w:r>
      <w:r>
        <w:rPr>
          <w:w w:val="105"/>
        </w:rPr>
        <w:t>S.R MMC</w:t>
      </w:r>
    </w:p>
    <w:p w:rsidR="005233BB" w:rsidRDefault="0006691F">
      <w:pPr>
        <w:ind w:left="2441" w:right="2429"/>
        <w:jc w:val="center"/>
      </w:pPr>
      <w:r>
        <w:t>AZ1031, AZƏRBAYCAN, BAKI ŞƏHƏRİ, NİZAMİ RAYONU, KEŞLƏ ŞTQ, ABDULLA MİRZƏYEV, EV 21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>
        <w:rPr>
          <w:b/>
          <w:i/>
          <w:sz w:val="24"/>
        </w:rPr>
        <w:t>sk44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01.06.2022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Pərviz Əliyev Tehran  oğlu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S.R MMC</w:t>
      </w:r>
      <w:r>
        <w:rPr>
          <w:sz w:val="28"/>
        </w:rPr>
        <w:t>-də Direktor</w:t>
      </w:r>
      <w:r>
        <w:rPr>
          <w:spacing w:val="1"/>
          <w:sz w:val="28"/>
        </w:rPr>
        <w:t xml:space="preserve"> </w:t>
      </w:r>
      <w:r>
        <w:rPr>
          <w:sz w:val="28"/>
        </w:rPr>
        <w:t>08.06.2022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23.06.2022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22.11.2018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22.11.2019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equalWidth="0" w:space="720" w:num="2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P="0006691F" w:rsidRDefault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/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Pərviz Əliyev Tehran</w:t>
      </w:r>
      <w:bookmarkStart w:name="_GoBack" w:id="0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