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NBA READINESS SYSTEM</w:t>
        <w:br/>
        <w:t>RULEBOOK — CRITERIA 3, 4, 5 &amp; 6</w:t>
      </w:r>
    </w:p>
    <w:p>
      <w:pPr>
        <w:jc w:val="center"/>
      </w:pPr>
      <w:r>
        <w:rPr>
          <w:i/>
        </w:rPr>
        <w:t>Version 2.0 | Updated against the supplied NBA UG Engineering Tier-I 2026 Edition Manual</w:t>
      </w:r>
    </w:p>
    <w:p>
      <w:pPr>
        <w:pStyle w:val="Heading1"/>
      </w:pPr>
      <w:r>
        <w:t>1. Purpose and source status</w:t>
      </w:r>
    </w:p>
    <w:p>
      <w:r>
        <w:t>This is an implementation specification for the AI-Driven NBA Accreditation Readiness System, not an NBA-issued interpretation and not a claim that the software awards accreditation. The controlling source for this revision is the user-supplied “Manual for UG Engineering Tier I – 2026 Edition” (filename indicates 21 May 2026). It contains the SAR Format, GAPC V4.0/Tier-I Institutions (internally dated July 2024) in Annexure II and Evaluation Guidelines in Annexure VII. The manual's Evaluation Guidelines are the source for criteria marks, qualitative assessment items, and numeric formulas reproduced here.</w:t>
      </w:r>
    </w:p>
    <w:p>
      <w:r>
        <w:t>Version caution: the May 2026 manual combines a 2026 edition cover/file with a SAR format dated July 2024. Before production accreditation use, confirm with the institution/NBA that this manual is applicable to the intended visit/cycle. Do not use the older December 2025 Evaluation Guidelines and April 2026 SAR as the controlling pair where they conflict with the 2026 Edition Manual.</w:t>
      </w:r>
    </w:p>
    <w:p>
      <w:pPr>
        <w:pStyle w:val="Heading1"/>
      </w:pPr>
      <w:r>
        <w:t>2. Rules for implementation</w:t>
      </w:r>
    </w:p>
    <w:p>
      <w:pPr>
        <w:pStyle w:val="ListBullet"/>
      </w:pPr>
      <w:r>
        <w:t>Store the source title/version, criterion/subcriterion, PDF page, verbatim/source summary, maximum marks, formula, input fields, evidence requirements, rule status, and unresolved notes in a versioned rule registry.</w:t>
      </w:r>
    </w:p>
    <w:p>
      <w:pPr>
        <w:pStyle w:val="ListBullet"/>
      </w:pPr>
      <w:r>
        <w:t>Use deterministic backend code for all arithmetic, thresholding, validation, and mark calculations. Agents may explain results, summarize evidence, identify gaps, and recommend next steps; agents must not invent or silently alter numeric outputs.</w:t>
      </w:r>
    </w:p>
    <w:p>
      <w:pPr>
        <w:pStyle w:val="ListBullet"/>
      </w:pPr>
      <w:r>
        <w:t>Separate missing data from a verified zero. Support at least: VERIFIED, MISSING, PENDING_VERIFICATION, INVALID, NOT_APPLICABLE, and NEEDS_RULE_CLARIFICATION. These are internal software states, not NBA-defined statuses.</w:t>
      </w:r>
    </w:p>
    <w:p>
      <w:pPr>
        <w:pStyle w:val="ListBullet"/>
      </w:pPr>
      <w:r>
        <w:t>Store each calculation's inputs, source record IDs, formula/rule version, result, timestamp, user/reviewer, and audit history.</w:t>
      </w:r>
    </w:p>
    <w:p>
      <w:pPr>
        <w:pStyle w:val="ListBullet"/>
      </w:pPr>
      <w:r>
        <w:t>Do not award qualitative marks automatically merely because a document exists. Use evidence checklists and reviewer-entered/approved rubric scores with reasons and evidence references.</w:t>
      </w:r>
    </w:p>
    <w:p>
      <w:pPr>
        <w:pStyle w:val="ListBullet"/>
      </w:pPr>
      <w:r>
        <w:t>Apply authentication, role/department/year authorization, safe file handling, and privacy filtering before retrieval or LLM use.</w:t>
      </w:r>
    </w:p>
    <w:p>
      <w:pPr>
        <w:pStyle w:val="ListBullet"/>
      </w:pPr>
      <w:r>
        <w:t>Use configurable institution-approved methods only where the manual does not specify a complete numerical algorithm. Label those methods as institution-configured, never as NBA-prescribed.</w:t>
      </w:r>
    </w:p>
    <w:p>
      <w:pPr>
        <w:pStyle w:val="ListBullet"/>
      </w:pPr>
      <w:r>
        <w:t>Use synthetic test data only in tests/demo fixtures; do not mix it with real institutional records.</w:t>
      </w:r>
    </w:p>
    <w:p>
      <w:pPr>
        <w:pStyle w:val="Heading1"/>
      </w:pPr>
      <w:r>
        <w:t>3. Marks overview</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Criterion</w:t>
            </w:r>
          </w:p>
        </w:tc>
        <w:tc>
          <w:tcPr>
            <w:tcW w:type="dxa" w:w="3408"/>
          </w:tcPr>
          <w:p>
            <w:r>
              <w:t>Name in manual</w:t>
            </w:r>
          </w:p>
        </w:tc>
        <w:tc>
          <w:tcPr>
            <w:tcW w:type="dxa" w:w="3408"/>
          </w:tcPr>
          <w:p>
            <w:r>
              <w:t>Maximum marks</w:t>
            </w:r>
          </w:p>
        </w:tc>
      </w:tr>
      <w:tr>
        <w:tc>
          <w:tcPr>
            <w:tcW w:type="dxa" w:w="3408"/>
          </w:tcPr>
          <w:p>
            <w:r>
              <w:t>3</w:t>
            </w:r>
          </w:p>
        </w:tc>
        <w:tc>
          <w:tcPr>
            <w:tcW w:type="dxa" w:w="3408"/>
          </w:tcPr>
          <w:p>
            <w:r>
              <w:t>Outcome-Based Assessment</w:t>
            </w:r>
          </w:p>
        </w:tc>
        <w:tc>
          <w:tcPr>
            <w:tcW w:type="dxa" w:w="3408"/>
          </w:tcPr>
          <w:p>
            <w:r>
              <w:t>120</w:t>
            </w:r>
          </w:p>
        </w:tc>
      </w:tr>
      <w:tr>
        <w:tc>
          <w:tcPr>
            <w:tcW w:type="dxa" w:w="3408"/>
          </w:tcPr>
          <w:p>
            <w:r>
              <w:t>4</w:t>
            </w:r>
          </w:p>
        </w:tc>
        <w:tc>
          <w:tcPr>
            <w:tcW w:type="dxa" w:w="3408"/>
          </w:tcPr>
          <w:p>
            <w:r>
              <w:t>Students’ Performance</w:t>
            </w:r>
          </w:p>
        </w:tc>
        <w:tc>
          <w:tcPr>
            <w:tcW w:type="dxa" w:w="3408"/>
          </w:tcPr>
          <w:p>
            <w:r>
              <w:t>120</w:t>
            </w:r>
          </w:p>
        </w:tc>
      </w:tr>
      <w:tr>
        <w:tc>
          <w:tcPr>
            <w:tcW w:type="dxa" w:w="3408"/>
          </w:tcPr>
          <w:p>
            <w:r>
              <w:t>5</w:t>
            </w:r>
          </w:p>
        </w:tc>
        <w:tc>
          <w:tcPr>
            <w:tcW w:type="dxa" w:w="3408"/>
          </w:tcPr>
          <w:p>
            <w:r>
              <w:t>Faculty Information</w:t>
            </w:r>
          </w:p>
        </w:tc>
        <w:tc>
          <w:tcPr>
            <w:tcW w:type="dxa" w:w="3408"/>
          </w:tcPr>
          <w:p>
            <w:r>
              <w:t>100</w:t>
            </w:r>
          </w:p>
        </w:tc>
      </w:tr>
      <w:tr>
        <w:tc>
          <w:tcPr>
            <w:tcW w:type="dxa" w:w="3408"/>
          </w:tcPr>
          <w:p>
            <w:r>
              <w:t>6</w:t>
            </w:r>
          </w:p>
        </w:tc>
        <w:tc>
          <w:tcPr>
            <w:tcW w:type="dxa" w:w="3408"/>
          </w:tcPr>
          <w:p>
            <w:r>
              <w:t>Faculty Contributions</w:t>
            </w:r>
          </w:p>
        </w:tc>
        <w:tc>
          <w:tcPr>
            <w:tcW w:type="dxa" w:w="3408"/>
          </w:tcPr>
          <w:p>
            <w:r>
              <w:t>120</w:t>
            </w:r>
          </w:p>
        </w:tc>
      </w:tr>
    </w:tbl>
    <w:p>
      <w:pPr>
        <w:pStyle w:val="Heading1"/>
      </w:pPr>
      <w:r>
        <w:t>4. Criterion 3 — Outcome-Based Assessment (120)</w:t>
      </w:r>
    </w:p>
    <w:p>
      <w:pPr>
        <w:pStyle w:val="Heading2"/>
      </w:pPr>
      <w:r>
        <w:t>3.1 Continuous assessment — 10</w:t>
      </w:r>
    </w:p>
    <w:p>
      <w:r>
        <w:t>Paper-setting/evaluation process (2); question quality and CO mapping (3); CO coverage in tests/assignments (3); post-evaluation feedback to students (2). Evidence-based qualitative rubric.</w:t>
      </w:r>
    </w:p>
    <w:p>
      <w:pPr>
        <w:pStyle w:val="Heading2"/>
      </w:pPr>
      <w:r>
        <w:t>3.2 SEE question paper — 10</w:t>
      </w:r>
    </w:p>
    <w:p>
      <w:r>
        <w:t>Paper-setting/evaluation process (3); question quality and CO mapping (5); transparency of post-evaluation (2). Evidence-based qualitative rubric.</w:t>
      </w:r>
    </w:p>
    <w:p>
      <w:pPr>
        <w:pStyle w:val="Heading2"/>
      </w:pPr>
      <w:r>
        <w:t>3.3 Laboratory/workshop — 10</w:t>
      </w:r>
    </w:p>
    <w:p>
      <w:r>
        <w:t>Evaluation of experiments (5); rubrics relevant to COs/POs (5).</w:t>
      </w:r>
    </w:p>
    <w:p>
      <w:pPr>
        <w:pStyle w:val="Heading2"/>
      </w:pPr>
      <w:r>
        <w:t>3.4 Industrial training/internship — 10</w:t>
      </w:r>
    </w:p>
    <w:p>
      <w:r>
        <w:t>Relevance of internship/training (4); assessment rubrics and PO mapping (6).</w:t>
      </w:r>
    </w:p>
    <w:p>
      <w:pPr>
        <w:pStyle w:val="Heading2"/>
      </w:pPr>
      <w:r>
        <w:t>3.5 Projects — 20</w:t>
      </w:r>
    </w:p>
    <w:p>
      <w:r>
        <w:t>Rubrics for complexity, cost, environmental relevance and sustainability (10); teamwork, communication and project management (10). Assess individual and team performance.</w:t>
      </w:r>
    </w:p>
    <w:p>
      <w:pPr>
        <w:pStyle w:val="Heading2"/>
      </w:pPr>
      <w:r>
        <w:t>3.6 SDGs — 10</w:t>
      </w:r>
    </w:p>
    <w:p>
      <w:r>
        <w:t>Evidence of addressing SDGs relevant to the program through coursework, research and projects.</w:t>
      </w:r>
    </w:p>
    <w:p>
      <w:pPr>
        <w:pStyle w:val="Heading2"/>
      </w:pPr>
      <w:r>
        <w:t>3.7 CO attainment — 25</w:t>
      </w:r>
    </w:p>
    <w:p>
      <w:r>
        <w:t>3.7.1 assessment tools/processes: 5 (list/process 2; quality/relevance 3). 3.7.2 record and verify attainment against each course's set benchmarks: 20.</w:t>
      </w:r>
    </w:p>
    <w:p>
      <w:pPr>
        <w:pStyle w:val="Heading2"/>
      </w:pPr>
      <w:r>
        <w:t>3.8 PO/PSO attainment — 25</w:t>
      </w:r>
    </w:p>
    <w:p>
      <w:r>
        <w:t>Verify documents, results and attainment levels for each PO/PSO: 10; assess overall attainment levels: 15. Manual calls for core-course evidence and verification of at least two PO and two PSO attainment levels.</w:t>
      </w:r>
    </w:p>
    <w:p>
      <w:r>
        <w:t>Formula status: the manual sections above require verification against benchmarks and documented attainment methodology; they do not provide one universal numerical CO/PO/PSO calculation formula in these evaluation tables. Any calculation algorithm must be an institution-approved configurable method, explicitly labelled as such.</w:t>
      </w:r>
    </w:p>
    <w:p>
      <w:pPr>
        <w:pStyle w:val="Heading1"/>
      </w:pPr>
      <w:r>
        <w:t>5. Criterion 4 — Students’ Performance (120)</w:t>
      </w:r>
    </w:p>
    <w:p>
      <w:pPr>
        <w:pStyle w:val="Heading2"/>
      </w:pPr>
      <w:r>
        <w:t>4.1 First-year enrolment ratio — 20</w:t>
      </w:r>
    </w:p>
    <w:p>
      <w:r>
        <w:t>ER = (N1 + N4) / N, as shown in the evaluation form; average over CAY, CAYm1 and CAYm2. Average ER bands: ≥90%=20; ≥80%=17; ≥70%=14; ≥60%=11; ≥50%=8; ≥40%=5; otherwise 0. Verify N, N1 and N4 definitions against the SAR table before implementation.</w:t>
      </w:r>
    </w:p>
    <w:p>
      <w:pPr>
        <w:pStyle w:val="Heading2"/>
      </w:pPr>
      <w:r>
        <w:t>4.2 Success rate in stipulated period — 15</w:t>
      </w:r>
    </w:p>
    <w:p>
      <w:r>
        <w:t>SR = (B/A) × 100; average SR is the mean of the past three batches; SR Points = 1.5 × (Average SR / 10). A includes first-year admits and applicable lateral-entry/multiple-entry students, minus exits via multiple entry; B is graduates within stipulated duration. If A is below sanctioned intake N plus lateral entry including leftover seats N2, the source says use N+N2 as the denominator. The evaluation table contains an apparent A/B wording inconsistency in its note; implement denominator substitution only after checking the original table and recording the interpretation.</w:t>
      </w:r>
    </w:p>
    <w:p>
      <w:pPr>
        <w:pStyle w:val="Heading2"/>
      </w:pPr>
      <w:r>
        <w:t>4.3 First-year academic performance — 10</w:t>
      </w:r>
    </w:p>
    <w:p>
      <w:r>
        <w:t>API = X × (Y/Z), where X is either mean first-year GPA of successful students on a 10-point scale, or mean percentage marks of successful students divided by 10; Y = successful students who proceeded to second year; Z = students who appeared. Follow the manual's selected grading/percentage route consistently.</w:t>
      </w:r>
    </w:p>
    <w:p>
      <w:pPr>
        <w:pStyle w:val="Heading2"/>
      </w:pPr>
      <w:r>
        <w:t>4.4 Second-year academic performance — 10</w:t>
      </w:r>
    </w:p>
    <w:p>
      <w:r>
        <w:t>Same API structure for second-year students; successful students are those who proceeded to third year.</w:t>
      </w:r>
    </w:p>
    <w:p>
      <w:pPr>
        <w:pStyle w:val="Heading2"/>
      </w:pPr>
      <w:r>
        <w:t>4.5 Third-year academic performance — 10</w:t>
      </w:r>
    </w:p>
    <w:p>
      <w:r>
        <w:t>Same API structure for third-year students; successful students are those who proceeded to fourth year.</w:t>
      </w:r>
    </w:p>
    <w:p>
      <w:pPr>
        <w:pStyle w:val="Heading2"/>
      </w:pPr>
      <w:r>
        <w:t>4.6 Placement, higher studies, entrepreneurship — 30</w:t>
      </w:r>
    </w:p>
    <w:p>
      <w:r>
        <w:t>P = [(X + Y + Z)/FS] × 100; X = placed students, Y = admitted to higher studies, Z = taking up entrepreneurship, FS = final-year students. Assessment Points = 0.3 × average P. If FS is below N+N2, the manual says use N+N2 as FS. Validate overlap/double-counting policy against source/institution before calculating.</w:t>
      </w:r>
    </w:p>
    <w:p>
      <w:pPr>
        <w:pStyle w:val="Heading2"/>
      </w:pPr>
      <w:r>
        <w:t>4.7 Professional activities — 25</w:t>
      </w:r>
    </w:p>
    <w:p>
      <w:r>
        <w:t>4.7.1 professional societies/bodies, chapters, clubs and engineering events: 5 (activity availability/number 2; event quality/level 3). 4.7.2 student participation at other institutions: 10 (state-level participation 3; national/international participation 3; awards 4). 4.7.3 departmental journals/magazines/newsletters: 5 (quality/relevance 3; student involvement 2). 4.7.4 student publications: 5 (journal papers 2; conference papers 2; awarded publications 1).</w:t>
      </w:r>
    </w:p>
    <w:p>
      <w:pPr>
        <w:pStyle w:val="Heading1"/>
      </w:pPr>
      <w:r>
        <w:t>6. Criterion 5 — Faculty Information (100)</w:t>
      </w:r>
    </w:p>
    <w:p>
      <w:pPr>
        <w:pStyle w:val="Heading2"/>
      </w:pPr>
      <w:r>
        <w:t>5.1 Student–Faculty Ratio (SFR) — 30</w:t>
      </w:r>
    </w:p>
    <w:p>
      <w:r>
        <w:t>S = students in department and allied departments as defined by SAR; TF = F + PoP − FF; SFR = S/TF; average SFR across CAY, CAYm1, CAYm2. Bands shown: SFR &lt;15 → 30; &lt;17 →27; &lt;19 →24; &lt;21 →21; &lt;23 →18; &lt;25 →15; &gt;25 →0. Exact SFR=25 is not explicitly assigned by the printed inequalities; do not guess. The manual has detailed inclusion/exclusion rules for faculty, allied programs, full-time contractual faculty, and PoP.</w:t>
      </w:r>
    </w:p>
    <w:p>
      <w:pPr>
        <w:pStyle w:val="Heading2"/>
      </w:pPr>
      <w:r>
        <w:t>5.2 Faculty Qualification Index — 25</w:t>
      </w:r>
    </w:p>
    <w:p>
      <w:r>
        <w:t>FQI = 2.5 × [(10X + 4Y)/RF], where X = PhD/equivalent faculty; Y = M.Tech/ME/equivalent faculty; RF = required faculty for 20:1 ratio, RF = S/20. Use source-defined scope for department/allied departments and exclusions.</w:t>
      </w:r>
    </w:p>
    <w:p>
      <w:pPr>
        <w:pStyle w:val="Heading2"/>
      </w:pPr>
      <w:r>
        <w:t>5.3 Faculty Cadre Proportion — 25</w:t>
      </w:r>
    </w:p>
    <w:p>
      <w:r>
        <w:t>Marks = [AF1/RF1 + 0.6×(AF2/RF2) + 0.4×(AF3/RF3)] × 12.5; if AF1=AF2=0, score is 0; cap at 25. RF1=1/9 of required faculty, RF2=2/9, RF3=6/9. Confirm all cadre definitions and AICTE/UGC eligibility from the manual before implementation.</w:t>
      </w:r>
    </w:p>
    <w:p>
      <w:pPr>
        <w:pStyle w:val="Heading2"/>
      </w:pPr>
      <w:r>
        <w:t>5.4 Visiting/adjunct faculty/Professor of Practice — 10</w:t>
      </w:r>
    </w:p>
    <w:p>
      <w:r>
        <w:t>Provision of visiting/adjunct/emeritus/PoP faculty: 1 mark. Minimum 50 cumulative interaction hours per year: 3 marks per year, up to 9 across three years. Less than 50 hours in a year scores 0 for that year.</w:t>
      </w:r>
    </w:p>
    <w:p>
      <w:pPr>
        <w:pStyle w:val="Heading2"/>
      </w:pPr>
      <w:r>
        <w:t>5.5 Faculty retention — 10</w:t>
      </w:r>
    </w:p>
    <w:p>
      <w:r>
        <w:t>FR = [((A×0)+(B×1)+(C×2)+(D×3)+(E×4))/RF] × 2.50, capped at 10 per annual score; average across CAY, CAYm1 and CAYm2. RF = DS/20 as defined in the SAR. A–E are faculty tenure bands. Source wording uses strict bands (e.g. exactly 1, 2, 3, or 4 years is not unambiguously assigned); clarify before production scoring.</w:t>
      </w:r>
    </w:p>
    <w:p>
      <w:pPr>
        <w:pStyle w:val="Heading1"/>
      </w:pPr>
      <w:r>
        <w:t>7. Criterion 6 — Faculty Contributions (120)</w:t>
      </w:r>
    </w:p>
    <w:p>
      <w:r>
        <w:t>Criterion 6 is split into Professional Development Activities (6.1, 60 marks) and Research &amp; Development (6.2, 60 marks). The exact source criteria and evidence must be retained; qualitative scoring requires human review.</w:t>
      </w:r>
    </w:p>
    <w:p>
      <w:pPr>
        <w:pStyle w:val="Heading2"/>
      </w:pPr>
      <w:r>
        <w:t>6.1.1 Professional society memberships — 5</w:t>
      </w:r>
    </w:p>
    <w:p>
      <w:r>
        <w:t>Record active recognized national/international professional memberships, positions and contributions during the assessment period. Source provides a qualitative evidence table, not a universal numeric formula.</w:t>
      </w:r>
    </w:p>
    <w:p>
      <w:pPr>
        <w:pStyle w:val="Heading2"/>
      </w:pPr>
      <w:r>
        <w:t>6.1.2.1 Faculty as resource persons in STTPs/FDPs — 5</w:t>
      </w:r>
    </w:p>
    <w:p>
      <w:r>
        <w:t>Average &gt;3 faculty members serving as resource persons during assessment period: 5 marks. Average &gt;2 and &lt;3: 2 marks. Exact boundaries and other averages are not assigned by the printed inequalities; flag for clarification.</w:t>
      </w:r>
    </w:p>
    <w:p>
      <w:pPr>
        <w:pStyle w:val="Heading2"/>
      </w:pPr>
      <w:r>
        <w:t>6.1.2.2 Faculty participation in STTPs/FDPs — 5</w:t>
      </w:r>
    </w:p>
    <w:p>
      <w:r>
        <w:t>Participation for 2–5 days: 3 points; &gt;5 days: 5 points. Maximum 5 participation points per faculty. RF = required faculty for 20:1 ratio (DS/20). Annual AP = sum of faculty participation scores / (0.5 × RF); average assessment over the last three years starting from CAYm1; cap at 5. Do not duplicate participation data from 6.1.4.</w:t>
      </w:r>
    </w:p>
    <w:p>
      <w:pPr>
        <w:pStyle w:val="Heading2"/>
      </w:pPr>
      <w:r>
        <w:t>6.1.3 SWAYAM MOOC/e-content development — 7</w:t>
      </w:r>
    </w:p>
    <w:p>
      <w:r>
        <w:t>Capture evidence of faculty contribution to SWAYAM MOOCs/e-content as required by the SAR. Use source rubric/reviewer assessment; do not invent unsupported thresholds.</w:t>
      </w:r>
    </w:p>
    <w:p>
      <w:pPr>
        <w:pStyle w:val="Heading2"/>
      </w:pPr>
      <w:r>
        <w:t>6.1.4 Faculty certification — 8</w:t>
      </w:r>
    </w:p>
    <w:p>
      <w:r>
        <w:t>Source uses percentage bands with open boundaries: &gt;30% (6–8); &gt;20% and &lt;30% (3–5); &lt;20% (0–2). Preserve gaps at exactly 20% and 30% for reviewer clarification; record denominator and eligible certifications.</w:t>
      </w:r>
    </w:p>
    <w:p>
      <w:pPr>
        <w:pStyle w:val="Heading2"/>
      </w:pPr>
      <w:r>
        <w:t>6.1.5 FDP/STTP organized — 10</w:t>
      </w:r>
    </w:p>
    <w:p>
      <w:r>
        <w:t>Programs must be at least 5 days; 2 points per qualifying program, maximum 4 points/year and maximum 10 total. Store dates, duration, organizer and evidence.</w:t>
      </w:r>
    </w:p>
    <w:p>
      <w:pPr>
        <w:pStyle w:val="Heading2"/>
      </w:pPr>
      <w:r>
        <w:t>6.1.6 Faculty support in student innovation — 10</w:t>
      </w:r>
    </w:p>
    <w:p>
      <w:r>
        <w:t>Source percentage bands: &gt;30% (7–10); &gt;20% and &lt;30% (4–6); &lt;20% (0–3). Gaps at exactly 20% and 30% need clarification. Store eligible faculty/support evidence and denominator.</w:t>
      </w:r>
    </w:p>
    <w:p>
      <w:pPr>
        <w:pStyle w:val="Heading2"/>
      </w:pPr>
      <w:r>
        <w:t>6.1.7 Faculty industry training/collaboration — 10</w:t>
      </w:r>
    </w:p>
    <w:p>
      <w:r>
        <w:t>Source percentage bands: &gt;30% (7–10); &gt;20% and &lt;30% (4–6); &lt;20% (0–3). Gaps at exactly 20% and 30% need clarification. Store training/collaboration records and denominator.</w:t>
      </w:r>
    </w:p>
    <w:p>
      <w:pPr>
        <w:pStyle w:val="Heading2"/>
      </w:pPr>
      <w:r>
        <w:t>6.2.1 Academic research — 10</w:t>
      </w:r>
    </w:p>
    <w:p>
      <w:r>
        <w:t>Publication quantity: 4 marks; quality: 6 marks. Keep counts, bibliographic metadata, indexing/quality evidence and reviewer decision auditable.</w:t>
      </w:r>
    </w:p>
    <w:p>
      <w:pPr>
        <w:pStyle w:val="Heading2"/>
      </w:pPr>
      <w:r>
        <w:t>6.2.2 PhD students — 5</w:t>
      </w:r>
    </w:p>
    <w:p>
      <w:r>
        <w:t>Capture PhD student/supervision information and supporting records as requested by the SAR; use source rubric rather than an invented threshold.</w:t>
      </w:r>
    </w:p>
    <w:p>
      <w:pPr>
        <w:pStyle w:val="Heading2"/>
      </w:pPr>
      <w:r>
        <w:t>6.2.3 Development activities — 10</w:t>
      </w:r>
    </w:p>
    <w:p>
      <w:r>
        <w:t>Patents granted: 4; patents published: 3; models/prototypes: 3. Track each category and its supporting evidence separately.</w:t>
      </w:r>
    </w:p>
    <w:p>
      <w:pPr>
        <w:pStyle w:val="Heading2"/>
      </w:pPr>
      <w:r>
        <w:t>6.2.4 Sponsored research projects — 15</w:t>
      </w:r>
    </w:p>
    <w:p>
      <w:r>
        <w:t>Cumulative external funding over CAYm1, CAYm2 and CAYm3: &gt;₹20 lakh=15; &gt;₹16 lakh and &lt;₹20 lakh=12; &gt;₹12 lakh and &lt;₹16 lakh=9; &gt;₹8 lakh and &lt;₹12 lakh=6; &gt;₹4 lakh and &lt;₹8 lakh=3; &gt;₹1 lakh and &lt;₹4 lakh=1; &lt;₹1 lakh=0. Exact boundaries (₹1, ₹4, ₹8, ₹12, ₹16, ₹20 lakh) are not fully assigned; do not silently interpolate.</w:t>
      </w:r>
    </w:p>
    <w:p>
      <w:pPr>
        <w:pStyle w:val="Heading2"/>
      </w:pPr>
      <w:r>
        <w:t>6.2.5 Consultancy work — 15</w:t>
      </w:r>
    </w:p>
    <w:p>
      <w:r>
        <w:t>Same cumulative amount bands and boundary gaps as 6.2.4, using external consultancy receipts over CAYm1, CAYm2 and CAYm3.</w:t>
      </w:r>
    </w:p>
    <w:p>
      <w:pPr>
        <w:pStyle w:val="Heading2"/>
      </w:pPr>
      <w:r>
        <w:t>6.2.6 Institution seed money/internal research grants — 5</w:t>
      </w:r>
    </w:p>
    <w:p>
      <w:r>
        <w:t>Amount received: 3 marks with source bands &gt;₹6 lakh=3; &gt;₹4 lakh and &lt;₹6 lakh=2; &gt;₹2 lakh and &lt;₹4 lakh=1; &lt;₹1 lakh=0. The source leaves further gaps (₹1–2 lakh and exact boundaries); do not guess. Amount utilized accounts for 2 marks; source table does not give a fully specified formula in the extracted guideline, so this component requires documented reviewer scoring or formal clarification.</w:t>
      </w:r>
    </w:p>
    <w:p>
      <w:pPr>
        <w:pStyle w:val="Heading1"/>
      </w:pPr>
      <w:r>
        <w:t>8. Data model and system behaviour</w:t>
      </w:r>
    </w:p>
    <w:p>
      <w:pPr>
        <w:pStyle w:val="ListBullet"/>
      </w:pPr>
      <w:r>
        <w:t>Rule registry: rule_id, criterion_id, subcriterion_id, title, source_manual, edition/version, source_page, source_text/summary, maximum_marks, formula_type, formula_expression, thresholds, required_fields, evidence_types, status, unresolved_note, effective_from, approved_by.</w:t>
      </w:r>
    </w:p>
    <w:p>
      <w:pPr>
        <w:pStyle w:val="ListBullet"/>
      </w:pPr>
      <w:r>
        <w:t>Evidence records: department/program, academic year, category, uploaded file metadata, storage key, uploader, document date, verification state, reviewer, review notes, source references, and audit trail.</w:t>
      </w:r>
    </w:p>
    <w:p>
      <w:pPr>
        <w:pStyle w:val="ListBullet"/>
      </w:pPr>
      <w:r>
        <w:t>Calculation records: rule version, input snapshot, normalized inputs, formula steps, raw result, capped result, mark result, warnings, missing/invalid fields, evidence IDs and reviewer approval.</w:t>
      </w:r>
    </w:p>
    <w:p>
      <w:pPr>
        <w:pStyle w:val="ListBullet"/>
      </w:pPr>
      <w:r>
        <w:t>Qualitative rubric records: rubric item, available evidence, reviewer-entered score, maximum score, justification, reviewer identity and timestamps. Agents can suggest a rubric mapping but cannot submit/approve marks autonomously.</w:t>
      </w:r>
    </w:p>
    <w:p>
      <w:pPr>
        <w:pStyle w:val="ListBullet"/>
      </w:pPr>
      <w:r>
        <w:t>Use the existing backend database and existing DB-backed RAG service as the source of truth. Do not replace it with the Agents branch's in-memory RAG implementation.</w:t>
      </w:r>
    </w:p>
    <w:p>
      <w:pPr>
        <w:pStyle w:val="ListBullet"/>
      </w:pPr>
      <w:r>
        <w:t>Agent integration should be adapter-based and minimally invasive: preserve existing agent files/behaviour as much as possible; connect them to authenticated backend services and the existing RAG; avoid a wholesale rewrite. Any required agent changes must be small, documented, reviewed, and isolated.</w:t>
      </w:r>
    </w:p>
    <w:p>
      <w:pPr>
        <w:pStyle w:val="ListBullet"/>
      </w:pPr>
      <w:r>
        <w:t>Do not copy the Agents branch's standalone FastAPI main app wholesale. Adapt its useful modules into the existing backend API/auth/lifecycle structure. Do not expose arbitrary file_path ingestion routes; accept validated uploads or trusted internal document IDs only.</w:t>
      </w:r>
    </w:p>
    <w:p>
      <w:pPr>
        <w:pStyle w:val="Heading1"/>
      </w:pPr>
      <w:r>
        <w:t>9. Open validation items — block automatic scoring until resolved</w:t>
      </w:r>
    </w:p>
    <w:p>
      <w:pPr>
        <w:pStyle w:val="ListNumber"/>
      </w:pPr>
      <w:r>
        <w:t>Confirm with NBA/institution that the supplied 2026 Edition manual applies to the intended accreditation cycle and program.</w:t>
      </w:r>
    </w:p>
    <w:p>
      <w:pPr>
        <w:pStyle w:val="ListNumber"/>
      </w:pPr>
      <w:r>
        <w:t>Verify all ambiguous strict-inequality boundaries: Criterion 5 SFR=25; retention tenure boundaries; Criterion 6 percentage and funding amount boundaries; resource-person averages; seed-money amounts.</w:t>
      </w:r>
    </w:p>
    <w:p>
      <w:pPr>
        <w:pStyle w:val="ListNumber"/>
      </w:pPr>
      <w:r>
        <w:t>Resolve the Criterion 4.2 note's apparent A/B typo by visually checking the official table and obtaining institutional/NBA confirmation before implementing denominator substitution.</w:t>
      </w:r>
    </w:p>
    <w:p>
      <w:pPr>
        <w:pStyle w:val="ListNumber"/>
      </w:pPr>
      <w:r>
        <w:t>Confirm Criterion 4.1 variable definitions (N, N1, N4) and Criterion 4.6 overlap/double-counting treatment from the SAR/manual.</w:t>
      </w:r>
    </w:p>
    <w:p>
      <w:pPr>
        <w:pStyle w:val="ListNumber"/>
      </w:pPr>
      <w:r>
        <w:t>Confirm exact source scoring details for Criterion 6.1.3, 6.1.4, 6.1.6, 6.1.7, 6.2.1, 6.2.2 and 6.2.6 using original table layouts; do not derive missing thresholds from OCR alone.</w:t>
      </w:r>
    </w:p>
    <w:p>
      <w:pPr>
        <w:pStyle w:val="ListNumber"/>
      </w:pPr>
      <w:r>
        <w:t>CO/PO/PSO numeric attainment method must be provided/approved by the institution if it is to be calculated by the system.</w:t>
      </w:r>
    </w:p>
    <w:p>
      <w:pPr>
        <w:pStyle w:val="ListNumber"/>
      </w:pPr>
      <w:r>
        <w:t>Visually verify all formulas from original PDF tables before coding, particularly equations with stacked fractions and inequality bands.</w:t>
      </w:r>
    </w:p>
    <w:p>
      <w:pPr>
        <w:pStyle w:val="Heading1"/>
      </w:pPr>
      <w:r>
        <w:t>10. Test and acceptance requirements</w:t>
      </w:r>
    </w:p>
    <w:p>
      <w:pPr>
        <w:pStyle w:val="ListBullet"/>
      </w:pPr>
      <w:r>
        <w:t>Unit tests for every formula, threshold band, cap, averaging window and denominator substitution.</w:t>
      </w:r>
    </w:p>
    <w:p>
      <w:pPr>
        <w:pStyle w:val="ListBullet"/>
      </w:pPr>
      <w:r>
        <w:t>Boundary tests for each exact threshold and every known open interval; unresolved boundaries must return NEEDS_RULE_CLARIFICATION, not a guessed score.</w:t>
      </w:r>
    </w:p>
    <w:p>
      <w:pPr>
        <w:pStyle w:val="ListBullet"/>
      </w:pPr>
      <w:r>
        <w:t>Missing/invalid/not-applicable tests; no missing field may be silently treated as zero.</w:t>
      </w:r>
    </w:p>
    <w:p>
      <w:pPr>
        <w:pStyle w:val="ListBullet"/>
      </w:pPr>
      <w:r>
        <w:t>Authorization tests for department/year scope, evidence access and agent retrieval.</w:t>
      </w:r>
    </w:p>
    <w:p>
      <w:pPr>
        <w:pStyle w:val="ListBullet"/>
      </w:pPr>
      <w:r>
        <w:t>Audit tests showing reproducible results from stored inputs and rule version.</w:t>
      </w:r>
    </w:p>
    <w:p>
      <w:pPr>
        <w:pStyle w:val="ListBullet"/>
      </w:pPr>
      <w:r>
        <w:t>Regression tests must pass for the existing backend and RAG before and after integration.</w:t>
      </w:r>
    </w:p>
    <w:p>
      <w:pPr>
        <w:pStyle w:val="ListBullet"/>
      </w:pPr>
      <w:r>
        <w:t>Integration tests for each agent adapter against the existing backend services; preserve current agent interfaces where practical.</w:t>
      </w:r>
    </w:p>
    <w:p>
      <w:pPr>
        <w:pStyle w:val="ListBullet"/>
      </w:pPr>
      <w:r>
        <w:t>Do not commit or push. Produce a summary of files changed, tests run, unresolved items and manual setup steps for developer review.</w:t>
      </w:r>
    </w:p>
    <w:p>
      <w:pPr>
        <w:pStyle w:val="Heading1"/>
      </w:pPr>
      <w:r>
        <w:t>11. Source map</w:t>
      </w:r>
    </w:p>
    <w:p>
      <w:r>
        <w:t>Supplied “Manual for UG Engineering Tier I – 2026 Edition”: SAR format (GAPC V4.0/Tier-I) in Annexure II, approximately PDF pages 64–127; Evaluation Guidelines in Annexure VII, approximately PDF pages 149–174. Criterion 3 and Criterion 4 evaluation tables appear around PDF pages 155–160. Criterion 5 and Criterion 6 tables appear later in Annexure VII. Always check the rendered PDF table for equations/thresholds where extracted text is ambiguous.</w:t>
      </w:r>
    </w:p>
    <w:p/>
    <w:p>
      <w:r>
        <w:rPr>
          <w:b/>
        </w:rPr>
        <w:t xml:space="preserve">Implementation stance: </w:t>
      </w:r>
      <w:r>
        <w:t>Preserve the verified backend and existing RAG. Preserve the agent developer's work. Prefer minimal adapters and small reviewed changes over rewriting the agents. Do not award official accreditation decisions.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