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003366"/>
        </w:rPr>
        <w:t>Q4 Financial Report</w:t>
      </w:r>
    </w:p>
    <w:p>
      <w:r>
        <w:rPr>
          <w:b/>
        </w:rPr>
        <w:t>Executive Summary</w:t>
        <w:br/>
      </w:r>
      <w:r>
        <w:rPr>
          <w:sz w:val="22"/>
        </w:rPr>
        <w:t xml:space="preserve">Our Q4 revenue reached $2.5M, representing a </w:t>
      </w:r>
      <w:r>
        <w:rPr>
          <w:color w:val="008000"/>
        </w:rPr>
        <w:t>35% increase</w:t>
      </w:r>
      <w:r>
        <w:rPr>
          <w:sz w:val="22"/>
        </w:rPr>
        <w:t xml:space="preserve"> year-over-year. Key highlights include:</w:t>
      </w:r>
    </w:p>
    <w:p>
      <w:pPr>
        <w:pStyle w:val="ListBullet"/>
      </w:pPr>
      <w:r>
        <w:t>Customer acquisition: 1,250 new accounts</w:t>
      </w:r>
    </w:p>
    <w:p>
      <w:pPr>
        <w:pStyle w:val="ListBullet"/>
      </w:pPr>
      <w:r>
        <w:t>Churn rate: 3.2% (down from 5.1%)</w:t>
      </w:r>
    </w:p>
    <w:p>
      <w:pPr>
        <w:pStyle w:val="ListBullet"/>
      </w:pPr>
      <w:r>
        <w:t>Average contract value: $15,400</w:t>
      </w:r>
    </w:p>
    <w:p>
      <w:pPr>
        <w:pStyle w:val="ListBullet"/>
      </w:pPr>
      <w:r>
        <w:t>Net promoter score: 78</w:t>
      </w:r>
    </w:p>
    <w:p>
      <w:pPr>
        <w:pStyle w:val="Heading2"/>
      </w:pPr>
      <w:r>
        <w:t>Regional Performance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Revenue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Growth</w:t>
            </w:r>
          </w:p>
        </w:tc>
      </w:tr>
      <w:tr>
        <w:tc>
          <w:tcPr>
            <w:tcW w:type="dxa" w:w="2880"/>
          </w:tcPr>
          <w:p>
            <w:r>
              <w:t>North America</w:t>
            </w:r>
          </w:p>
        </w:tc>
        <w:tc>
          <w:tcPr>
            <w:tcW w:type="dxa" w:w="2880"/>
          </w:tcPr>
          <w:p>
            <w:r>
              <w:t>$1.2M</w:t>
            </w:r>
          </w:p>
        </w:tc>
        <w:tc>
          <w:tcPr>
            <w:tcW w:type="dxa" w:w="2880"/>
          </w:tcPr>
          <w:p>
            <w:r>
              <w:t>+42%</w:t>
            </w:r>
          </w:p>
        </w:tc>
      </w:tr>
      <w:tr>
        <w:tc>
          <w:tcPr>
            <w:tcW w:type="dxa" w:w="2880"/>
          </w:tcPr>
          <w:p>
            <w:r>
              <w:t>Europe</w:t>
            </w:r>
          </w:p>
        </w:tc>
        <w:tc>
          <w:tcPr>
            <w:tcW w:type="dxa" w:w="2880"/>
          </w:tcPr>
          <w:p>
            <w:r>
              <w:t>$800K</w:t>
            </w:r>
          </w:p>
        </w:tc>
        <w:tc>
          <w:tcPr>
            <w:tcW w:type="dxa" w:w="2880"/>
          </w:tcPr>
          <w:p>
            <w:r>
              <w:t>+28%</w:t>
            </w:r>
          </w:p>
        </w:tc>
      </w:tr>
      <w:tr>
        <w:tc>
          <w:tcPr>
            <w:tcW w:type="dxa" w:w="2880"/>
          </w:tcPr>
          <w:p>
            <w:r>
              <w:t>Asia Pacific</w:t>
            </w:r>
          </w:p>
        </w:tc>
        <w:tc>
          <w:tcPr>
            <w:tcW w:type="dxa" w:w="2880"/>
          </w:tcPr>
          <w:p>
            <w:r>
              <w:t>$400K</w:t>
            </w:r>
          </w:p>
        </w:tc>
        <w:tc>
          <w:tcPr>
            <w:tcW w:type="dxa" w:w="2880"/>
          </w:tcPr>
          <w:p>
            <w:r>
              <w:t>+51%</w:t>
            </w:r>
          </w:p>
        </w:tc>
      </w:tr>
      <w:tr>
        <w:tc>
          <w:tcPr>
            <w:tcW w:type="dxa" w:w="2880"/>
          </w:tcPr>
          <w:p>
            <w:r>
              <w:t>Latin America</w:t>
            </w:r>
          </w:p>
        </w:tc>
        <w:tc>
          <w:tcPr>
            <w:tcW w:type="dxa" w:w="2880"/>
          </w:tcPr>
          <w:p>
            <w:r>
              <w:t>$100K</w:t>
            </w:r>
          </w:p>
        </w:tc>
        <w:tc>
          <w:tcPr>
            <w:tcW w:type="dxa" w:w="2880"/>
          </w:tcPr>
          <w:p>
            <w:r>
              <w:t>+12%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