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46"/>
        </w:rPr>
        <w:t>人工智能与校园生活调研报告</w:t>
      </w:r>
    </w:p>
    <w:p>
      <w:pPr>
        <w:spacing w:after="280"/>
      </w:pPr>
      <w:r>
        <w:rPr>
          <w:rFonts w:ascii="Calibri" w:hAnsi="Calibri"/>
          <w:b w:val="0"/>
          <w:color w:val="444444"/>
          <w:sz w:val="27"/>
        </w:rPr>
        <w:t>基于 120 份模拟问卷的学习支持与风险分析</w:t>
      </w:r>
    </w:p>
    <w:p>
      <w:pPr>
        <w:spacing w:after="40"/>
      </w:pPr>
      <w:r>
        <w:rPr>
          <w:rFonts w:ascii="Calibri" w:hAnsi="Calibri"/>
          <w:b/>
          <w:sz w:val="22"/>
        </w:rPr>
        <w:t xml:space="preserve">学生: </w:t>
      </w:r>
      <w:r>
        <w:rPr>
          <w:rFonts w:ascii="Calibri" w:hAnsi="Calibri"/>
          <w:b w:val="0"/>
          <w:sz w:val="22"/>
        </w:rPr>
        <w:t>张明（模拟）</w:t>
      </w:r>
    </w:p>
    <w:p>
      <w:pPr>
        <w:spacing w:after="40"/>
      </w:pPr>
      <w:r>
        <w:rPr>
          <w:rFonts w:ascii="Calibri" w:hAnsi="Calibri"/>
          <w:b/>
          <w:sz w:val="22"/>
        </w:rPr>
        <w:t xml:space="preserve">学号: </w:t>
      </w:r>
      <w:r>
        <w:rPr>
          <w:rFonts w:ascii="Calibri" w:hAnsi="Calibri"/>
          <w:b w:val="0"/>
          <w:sz w:val="22"/>
        </w:rPr>
        <w:t>20260001</w:t>
      </w:r>
    </w:p>
    <w:p>
      <w:pPr>
        <w:spacing w:after="40"/>
      </w:pPr>
      <w:r>
        <w:rPr>
          <w:rFonts w:ascii="Calibri" w:hAnsi="Calibri"/>
          <w:b/>
          <w:sz w:val="22"/>
        </w:rPr>
        <w:t xml:space="preserve">课程: </w:t>
      </w:r>
      <w:r>
        <w:rPr>
          <w:rFonts w:ascii="Calibri" w:hAnsi="Calibri"/>
          <w:b w:val="0"/>
          <w:sz w:val="22"/>
        </w:rPr>
        <w:t>人工智能导论</w:t>
      </w:r>
    </w:p>
    <w:p>
      <w:pPr>
        <w:spacing w:after="40"/>
      </w:pPr>
      <w:r>
        <w:rPr>
          <w:rFonts w:ascii="Calibri" w:hAnsi="Calibri"/>
          <w:b/>
          <w:sz w:val="22"/>
        </w:rPr>
        <w:t xml:space="preserve">日期: </w:t>
      </w:r>
      <w:r>
        <w:rPr>
          <w:rFonts w:ascii="Calibri" w:hAnsi="Calibri"/>
          <w:b w:val="0"/>
          <w:sz w:val="22"/>
        </w:rPr>
        <w:t>2026-08-06</w:t>
      </w:r>
    </w:p>
    <w:p>
      <w:pPr>
        <w:pStyle w:val="Heading1"/>
      </w:pPr>
      <w:r>
        <w:t>摘要</w:t>
      </w:r>
    </w:p>
    <w:p>
      <w:r>
        <w:t>本报告使用模拟问卷数据分析生成式人工智能在校园学习中的使用情况。结果显示，多数学生会在检索资料、梳理提纲和检查语言表达时使用相关工具，但对事实核验、隐私与引用规范的理解仍不充分。</w:t>
      </w:r>
    </w:p>
    <w:p>
      <w:pPr>
        <w:pStyle w:val="Heading1"/>
      </w:pPr>
      <w:r>
        <w:t>1. 研究方法</w:t>
      </w:r>
    </w:p>
    <w:p>
      <w:pPr>
        <w:pStyle w:val="ListBullet"/>
      </w:pPr>
      <w:r>
        <w:t>样本为 120 份匿名模拟问卷。</w:t>
      </w:r>
    </w:p>
    <w:p>
      <w:pPr>
        <w:pStyle w:val="ListBullet"/>
      </w:pPr>
      <w:r>
        <w:t>问题覆盖使用频率、主要用途、收益感知和风险意识。</w:t>
      </w:r>
    </w:p>
    <w:p>
      <w:pPr>
        <w:pStyle w:val="ListBullet"/>
      </w:pPr>
      <w:r>
        <w:t>百分比经四舍五入，合计可能存在 1 个百分点误差。</w:t>
      </w:r>
    </w:p>
    <w:p>
      <w:pPr>
        <w:pStyle w:val="Heading1"/>
      </w:pPr>
      <w:r>
        <w:t>2. 主要发现</w:t>
      </w:r>
    </w:p>
    <w:p>
      <w:r>
        <w:drawing>
          <wp:inline xmlns:a="http://schemas.openxmlformats.org/drawingml/2006/main" xmlns:pic="http://schemas.openxmlformats.org/drawingml/2006/picture">
            <wp:extent cx="5623560" cy="2905506"/>
            <wp:docPr id="1" name="Picture 1"/>
            <wp:cNvGraphicFramePr>
              <a:graphicFrameLocks noChangeAspect="1"/>
            </wp:cNvGraphicFramePr>
            <a:graphic>
              <a:graphicData uri="http://schemas.openxmlformats.org/drawingml/2006/picture">
                <pic:pic>
                  <pic:nvPicPr>
                    <pic:cNvPr id="0" name="campus-ai-survey.png"/>
                    <pic:cNvPicPr/>
                  </pic:nvPicPr>
                  <pic:blipFill>
                    <a:blip r:embed="rId11"/>
                    <a:stretch>
                      <a:fillRect/>
                    </a:stretch>
                  </pic:blipFill>
                  <pic:spPr>
                    <a:xfrm>
                      <a:off x="0" y="0"/>
                      <a:ext cx="5623560" cy="2905506"/>
                    </a:xfrm>
                    <a:prstGeom prst="rect"/>
                  </pic:spPr>
                </pic:pic>
              </a:graphicData>
            </a:graphic>
          </wp:inline>
        </w:drawing>
      </w:r>
    </w:p>
    <w:p>
      <w:pPr>
        <w:spacing w:after="200"/>
        <w:jc w:val="center"/>
      </w:pPr>
      <w:r>
        <w:rPr>
          <w:rFonts w:ascii="Calibri" w:hAnsi="Calibri"/>
          <w:b w:val="0"/>
          <w:color w:val="555555"/>
          <w:sz w:val="19"/>
        </w:rPr>
        <w:t>图 1  校园 AI 工具使用频率（模拟数据）</w:t>
      </w:r>
    </w:p>
    <w:tbl>
      <w:tblPr>
        <w:tblStyle w:val="TableGrid"/>
        <w:tblW w:type="dxa" w:w="9360"/>
        <w:jc w:val="left"/>
        <w:tblLayout w:type="fixed"/>
        <w:tblLook w:firstColumn="1" w:firstRow="1" w:lastColumn="0" w:lastRow="0" w:noHBand="0" w:noVBand="1" w:val="04A0"/>
        <w:tblInd w:w="120" w:type="dxa"/>
      </w:tblPr>
      <w:tblGrid>
        <w:gridCol w:w="2160"/>
        <w:gridCol w:w="1440"/>
        <w:gridCol w:w="5760"/>
      </w:tblGrid>
      <w:tr>
        <w:tc>
          <w:tcPr>
            <w:tcW w:type="dxa" w:w="2160"/>
            <w:shd w:fill="F2F4F7"/>
            <w:vAlign w:val="center"/>
            <w:tcMar>
              <w:top w:w="80" w:type="dxa"/>
              <w:bottom w:w="80" w:type="dxa"/>
              <w:start w:w="120" w:type="dxa"/>
              <w:end w:w="120" w:type="dxa"/>
            </w:tcMar>
          </w:tcPr>
          <w:p>
            <w:r>
              <w:rPr>
                <w:rFonts w:ascii="Calibri" w:hAnsi="Calibri"/>
                <w:b/>
                <w:sz w:val="22"/>
              </w:rPr>
              <w:t>使用场景</w:t>
            </w:r>
          </w:p>
        </w:tc>
        <w:tc>
          <w:tcPr>
            <w:tcW w:type="dxa" w:w="1440"/>
            <w:shd w:fill="F2F4F7"/>
            <w:vAlign w:val="center"/>
            <w:tcMar>
              <w:top w:w="80" w:type="dxa"/>
              <w:bottom w:w="80" w:type="dxa"/>
              <w:start w:w="120" w:type="dxa"/>
              <w:end w:w="120" w:type="dxa"/>
            </w:tcMar>
          </w:tcPr>
          <w:p>
            <w:r>
              <w:rPr>
                <w:rFonts w:ascii="Calibri" w:hAnsi="Calibri"/>
                <w:b/>
                <w:sz w:val="22"/>
              </w:rPr>
              <w:t>提及人数</w:t>
            </w:r>
          </w:p>
        </w:tc>
        <w:tc>
          <w:tcPr>
            <w:tcW w:type="dxa" w:w="5760"/>
            <w:shd w:fill="F2F4F7"/>
            <w:vAlign w:val="center"/>
            <w:tcMar>
              <w:top w:w="80" w:type="dxa"/>
              <w:bottom w:w="80" w:type="dxa"/>
              <w:start w:w="120" w:type="dxa"/>
              <w:end w:w="120" w:type="dxa"/>
            </w:tcMar>
          </w:tcPr>
          <w:p>
            <w:r>
              <w:rPr>
                <w:rFonts w:ascii="Calibri" w:hAnsi="Calibri"/>
                <w:b/>
                <w:sz w:val="22"/>
              </w:rPr>
              <w:t>分析</w:t>
            </w:r>
          </w:p>
        </w:tc>
      </w:tr>
      <w:tr>
        <w:tc>
          <w:tcPr>
            <w:tcW w:type="dxa" w:w="2160"/>
            <w:vAlign w:val="center"/>
            <w:tcMar>
              <w:top w:w="80" w:type="dxa"/>
              <w:bottom w:w="80" w:type="dxa"/>
              <w:start w:w="120" w:type="dxa"/>
              <w:end w:w="120" w:type="dxa"/>
            </w:tcMar>
          </w:tcPr>
          <w:p>
            <w:r>
              <w:rPr>
                <w:rFonts w:ascii="Calibri" w:hAnsi="Calibri"/>
                <w:b w:val="0"/>
                <w:sz w:val="22"/>
              </w:rPr>
              <w:t>资料检索</w:t>
            </w:r>
          </w:p>
        </w:tc>
        <w:tc>
          <w:tcPr>
            <w:tcW w:type="dxa" w:w="1440"/>
            <w:vAlign w:val="center"/>
            <w:tcMar>
              <w:top w:w="80" w:type="dxa"/>
              <w:bottom w:w="80" w:type="dxa"/>
              <w:start w:w="120" w:type="dxa"/>
              <w:end w:w="120" w:type="dxa"/>
            </w:tcMar>
          </w:tcPr>
          <w:p>
            <w:r>
              <w:rPr>
                <w:rFonts w:ascii="Calibri" w:hAnsi="Calibri"/>
                <w:b w:val="0"/>
                <w:sz w:val="22"/>
              </w:rPr>
              <w:t>96</w:t>
            </w:r>
          </w:p>
        </w:tc>
        <w:tc>
          <w:tcPr>
            <w:tcW w:type="dxa" w:w="5760"/>
            <w:vAlign w:val="center"/>
            <w:tcMar>
              <w:top w:w="80" w:type="dxa"/>
              <w:bottom w:w="80" w:type="dxa"/>
              <w:start w:w="120" w:type="dxa"/>
              <w:end w:w="120" w:type="dxa"/>
            </w:tcMar>
          </w:tcPr>
          <w:p>
            <w:r>
              <w:rPr>
                <w:rFonts w:ascii="Calibri" w:hAnsi="Calibri"/>
                <w:b w:val="0"/>
                <w:sz w:val="22"/>
              </w:rPr>
              <w:t>覆盖面高，但必须回到原始来源核验</w:t>
            </w:r>
          </w:p>
        </w:tc>
      </w:tr>
      <w:tr>
        <w:tc>
          <w:tcPr>
            <w:tcW w:type="dxa" w:w="2160"/>
            <w:vAlign w:val="center"/>
            <w:tcMar>
              <w:top w:w="80" w:type="dxa"/>
              <w:bottom w:w="80" w:type="dxa"/>
              <w:start w:w="120" w:type="dxa"/>
              <w:end w:w="120" w:type="dxa"/>
            </w:tcMar>
          </w:tcPr>
          <w:p>
            <w:r>
              <w:rPr>
                <w:rFonts w:ascii="Calibri" w:hAnsi="Calibri"/>
                <w:b w:val="0"/>
                <w:sz w:val="22"/>
              </w:rPr>
              <w:t>提纲整理</w:t>
            </w:r>
          </w:p>
        </w:tc>
        <w:tc>
          <w:tcPr>
            <w:tcW w:type="dxa" w:w="1440"/>
            <w:vAlign w:val="center"/>
            <w:tcMar>
              <w:top w:w="80" w:type="dxa"/>
              <w:bottom w:w="80" w:type="dxa"/>
              <w:start w:w="120" w:type="dxa"/>
              <w:end w:w="120" w:type="dxa"/>
            </w:tcMar>
          </w:tcPr>
          <w:p>
            <w:r>
              <w:rPr>
                <w:rFonts w:ascii="Calibri" w:hAnsi="Calibri"/>
                <w:b w:val="0"/>
                <w:sz w:val="22"/>
              </w:rPr>
              <w:t>82</w:t>
            </w:r>
          </w:p>
        </w:tc>
        <w:tc>
          <w:tcPr>
            <w:tcW w:type="dxa" w:w="5760"/>
            <w:vAlign w:val="center"/>
            <w:tcMar>
              <w:top w:w="80" w:type="dxa"/>
              <w:bottom w:w="80" w:type="dxa"/>
              <w:start w:w="120" w:type="dxa"/>
              <w:end w:w="120" w:type="dxa"/>
            </w:tcMar>
          </w:tcPr>
          <w:p>
            <w:r>
              <w:rPr>
                <w:rFonts w:ascii="Calibri" w:hAnsi="Calibri"/>
                <w:b w:val="0"/>
                <w:sz w:val="22"/>
              </w:rPr>
              <w:t>有助于建立结构，不应替代独立论证</w:t>
            </w:r>
          </w:p>
        </w:tc>
      </w:tr>
      <w:tr>
        <w:tc>
          <w:tcPr>
            <w:tcW w:type="dxa" w:w="2160"/>
            <w:vAlign w:val="center"/>
            <w:tcMar>
              <w:top w:w="80" w:type="dxa"/>
              <w:bottom w:w="80" w:type="dxa"/>
              <w:start w:w="120" w:type="dxa"/>
              <w:end w:w="120" w:type="dxa"/>
            </w:tcMar>
          </w:tcPr>
          <w:p>
            <w:r>
              <w:rPr>
                <w:rFonts w:ascii="Calibri" w:hAnsi="Calibri"/>
                <w:b w:val="0"/>
                <w:sz w:val="22"/>
              </w:rPr>
              <w:t>语言润色</w:t>
            </w:r>
          </w:p>
        </w:tc>
        <w:tc>
          <w:tcPr>
            <w:tcW w:type="dxa" w:w="1440"/>
            <w:vAlign w:val="center"/>
            <w:tcMar>
              <w:top w:w="80" w:type="dxa"/>
              <w:bottom w:w="80" w:type="dxa"/>
              <w:start w:w="120" w:type="dxa"/>
              <w:end w:w="120" w:type="dxa"/>
            </w:tcMar>
          </w:tcPr>
          <w:p>
            <w:r>
              <w:rPr>
                <w:rFonts w:ascii="Calibri" w:hAnsi="Calibri"/>
                <w:b w:val="0"/>
                <w:sz w:val="22"/>
              </w:rPr>
              <w:t>67</w:t>
            </w:r>
          </w:p>
        </w:tc>
        <w:tc>
          <w:tcPr>
            <w:tcW w:type="dxa" w:w="5760"/>
            <w:vAlign w:val="center"/>
            <w:tcMar>
              <w:top w:w="80" w:type="dxa"/>
              <w:bottom w:w="80" w:type="dxa"/>
              <w:start w:w="120" w:type="dxa"/>
              <w:end w:w="120" w:type="dxa"/>
            </w:tcMar>
          </w:tcPr>
          <w:p>
            <w:r>
              <w:rPr>
                <w:rFonts w:ascii="Calibri" w:hAnsi="Calibri"/>
                <w:b w:val="0"/>
                <w:sz w:val="22"/>
              </w:rPr>
              <w:t>效率提升明显，需要保留作者责任</w:t>
            </w:r>
          </w:p>
        </w:tc>
      </w:tr>
    </w:tbl>
    <w:p>
      <w:pPr>
        <w:pStyle w:val="Heading1"/>
      </w:pPr>
      <w:r>
        <w:t>3. 讨论与建议</w:t>
      </w:r>
    </w:p>
    <w:p>
      <w:r>
        <w:t>调查结果不能证明人工智能工具会自动提高学习质量。只有当学生能够说明信息来源、辨别不确定性并对最终内容负责时，效率收益才可能转化为真实学习成果。</w:t>
      </w:r>
    </w:p>
    <w:p>
      <w:pPr>
        <w:pStyle w:val="ListNumber"/>
      </w:pPr>
      <w:r>
        <w:t>教师应明确允许与禁止的使用边界。</w:t>
      </w:r>
    </w:p>
    <w:p>
      <w:pPr>
        <w:pStyle w:val="ListNumber"/>
      </w:pPr>
      <w:r>
        <w:t>学生应记录关键提示、核验来源并标注工具参与。</w:t>
      </w:r>
    </w:p>
    <w:p>
      <w:pPr>
        <w:pStyle w:val="ListNumber"/>
      </w:pPr>
      <w:r>
        <w:t>课程应把事实核验与引用训练纳入满分标准。</w:t>
      </w:r>
    </w:p>
    <w:p>
      <w:pPr>
        <w:pStyle w:val="Heading1"/>
      </w:pPr>
      <w:r>
        <w:t>结论</w:t>
      </w:r>
    </w:p>
    <w:p>
      <w:r>
        <w:t>生成式人工智能适合用作受控的学习辅助工具，而不是结论来源。后续研究可使用真实纵向数据比较不同教学规范对学习成效的影响。</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777777"/>
        <w:sz w:val="17"/>
      </w:rPr>
      <w:t>Course Agent Release Acceptance Fixture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8"/>
      </w:rPr>
      <w:t>课程作业验收样例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