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jc w:val="center"/>
      </w:pPr>
      <w:r>
        <w:rPr>
          <w:rFonts w:ascii="Arial" w:hAnsi="Arial" w:eastAsia="Arial"/>
          <w:b/>
          <w:color w:val="143D59"/>
          <w:sz w:val="46"/>
          <w:u w:val="none"/>
        </w:rPr>
        <w:t>TRUONG DINH ANH TU</w:t>
      </w:r>
    </w:p>
    <w:p>
      <w:pPr>
        <w:keepNext w:val="0"/>
        <w:spacing w:before="0" w:after="40" w:line="240" w:lineRule="auto"/>
        <w:jc w:val="center"/>
      </w:pPr>
      <w:r>
        <w:rPr>
          <w:rFonts w:ascii="Arial" w:hAnsi="Arial" w:eastAsia="Arial"/>
          <w:b w:val="0"/>
          <w:color w:val="545B64"/>
          <w:sz w:val="21"/>
          <w:u w:val="none"/>
        </w:rPr>
        <w:t>FP&amp;A Analyst | MNC Finance Analytics | Python &amp; BI Automation</w:t>
      </w:r>
    </w:p>
    <w:p>
      <w:pPr>
        <w:keepNext w:val="0"/>
        <w:spacing w:before="0" w:after="160" w:line="240" w:lineRule="auto"/>
        <w:pBdr>
          <w:bottom w:val="single" w:sz="8" w:space="8" w:color="8CA8BF"/>
        </w:pBdr>
        <w:jc w:val="center"/>
      </w:pPr>
      <w:r>
        <w:rPr>
          <w:rFonts w:ascii="Arial" w:hAnsi="Arial" w:eastAsia="Arial"/>
          <w:color w:val="545B64"/>
          <w:sz w:val="18"/>
          <w:u w:val="none"/>
        </w:rPr>
        <w:t>HCMC, Vietnam</w:t>
      </w:r>
      <w:r>
        <w:rPr>
          <w:rFonts w:ascii="Arial" w:hAnsi="Arial" w:eastAsia="Arial"/>
          <w:color w:val="545B64"/>
          <w:sz w:val="18"/>
          <w:u w:val="none"/>
        </w:rPr>
        <w:t xml:space="preserve"> | </w:t>
      </w:r>
      <w:hyperlink r:id="rId9">
        <w:r>
          <w:rPr>
            <w:rFonts w:ascii="Arial" w:hAnsi="Arial" w:eastAsia="Arial" w:cs="Arial"/>
            <w:sz w:val="18"/>
            <w:color w:val="1F5F8B"/>
            <w:u w:val="none"/>
          </w:rPr>
          <w:t>+84 902 339 411</w:t>
        </w:r>
      </w:hyperlink>
      <w:r>
        <w:rPr>
          <w:rFonts w:ascii="Arial" w:hAnsi="Arial" w:eastAsia="Arial"/>
          <w:color w:val="545B64"/>
          <w:sz w:val="18"/>
          <w:u w:val="none"/>
        </w:rPr>
        <w:t xml:space="preserve"> | </w:t>
      </w:r>
      <w:hyperlink r:id="rId10">
        <w:r>
          <w:rPr>
            <w:rFonts w:ascii="Arial" w:hAnsi="Arial" w:eastAsia="Arial" w:cs="Arial"/>
            <w:sz w:val="18"/>
            <w:color w:val="1F5F8B"/>
            <w:u w:val="none"/>
          </w:rPr>
          <w:t>truongtu293@gmail.com</w:t>
        </w:r>
      </w:hyperlink>
      <w:r>
        <w:rPr>
          <w:rFonts w:ascii="Arial" w:hAnsi="Arial" w:eastAsia="Arial"/>
          <w:color w:val="545B64"/>
          <w:sz w:val="18"/>
          <w:u w:val="none"/>
        </w:rPr>
        <w:t xml:space="preserve"> | </w:t>
      </w:r>
      <w:hyperlink r:id="rId11">
        <w:r>
          <w:rPr>
            <w:rFonts w:ascii="Arial" w:hAnsi="Arial" w:eastAsia="Arial" w:cs="Arial"/>
            <w:sz w:val="18"/>
            <w:color w:val="1F5F8B"/>
            <w:u w:val="none"/>
          </w:rPr>
          <w:t>LinkedIn</w:t>
        </w:r>
      </w:hyperlink>
      <w:r>
        <w:rPr>
          <w:rFonts w:ascii="Arial" w:hAnsi="Arial" w:eastAsia="Arial"/>
          <w:color w:val="545B64"/>
          <w:sz w:val="18"/>
          <w:u w:val="none"/>
        </w:rPr>
        <w:t xml:space="preserve"> | </w:t>
      </w:r>
      <w:hyperlink r:id="rId12">
        <w:r>
          <w:rPr>
            <w:rFonts w:ascii="Arial" w:hAnsi="Arial" w:eastAsia="Arial" w:cs="Arial"/>
            <w:sz w:val="18"/>
            <w:color w:val="1F5F8B"/>
            <w:u w:val="none"/>
          </w:rPr>
          <w:t>GitHub</w:t>
        </w:r>
      </w:hyperlink>
      <w:r>
        <w:rPr>
          <w:rFonts w:ascii="Arial" w:hAnsi="Arial" w:eastAsia="Arial"/>
          <w:color w:val="545B64"/>
          <w:sz w:val="18"/>
          <w:u w:val="none"/>
        </w:rPr>
        <w:t xml:space="preserve"> | </w:t>
      </w:r>
      <w:hyperlink r:id="rId13">
        <w:r>
          <w:rPr>
            <w:rFonts w:ascii="Arial" w:hAnsi="Arial" w:eastAsia="Arial" w:cs="Arial"/>
            <w:sz w:val="18"/>
            <w:color w:val="1F5F8B"/>
            <w:u w:val="none"/>
          </w:rPr>
          <w:t>Portfolio</w:t>
        </w:r>
      </w:hyperlink>
    </w:p>
    <w:p>
      <w:pPr>
        <w:keepNext/>
        <w:spacing w:before="150" w:after="130" w:line="240" w:lineRule="auto"/>
        <w:pBdr>
          <w:bottom w:val="single" w:sz="6" w:space="4" w:color="D6DEE6"/>
        </w:pBdr>
        <w:jc w:val="left"/>
      </w:pPr>
      <w:r>
        <w:rPr>
          <w:rFonts w:ascii="Arial" w:hAnsi="Arial" w:eastAsia="Arial"/>
          <w:b/>
          <w:i w:val="0"/>
          <w:color w:val="143D59"/>
          <w:sz w:val="21"/>
          <w:u w:val="none"/>
        </w:rPr>
        <w:t>PROFESSIONAL SUMMARY</w:t>
      </w:r>
    </w:p>
    <w:p>
      <w:pPr>
        <w:keepNext w:val="0"/>
        <w:spacing w:before="0" w:after="64" w:line="278" w:lineRule="auto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FP&amp;A analyst with hands-on experience in budgeting, management reporting, KPI governance, commercial analysis, audit support, and BI/Python automation across finance operations. I build controlled reporting pipelines, dashboard-ready datasets, variance insights, and agent-assisted review logic, with exposure to English-speaking MNC workflows and multi-entity finance reporting.</w:t>
      </w:r>
    </w:p>
    <w:p>
      <w:pPr>
        <w:keepNext/>
        <w:spacing w:before="150" w:after="130" w:line="240" w:lineRule="auto"/>
        <w:pBdr>
          <w:bottom w:val="single" w:sz="6" w:space="4" w:color="D6DEE6"/>
        </w:pBdr>
        <w:jc w:val="left"/>
      </w:pPr>
      <w:r>
        <w:rPr>
          <w:rFonts w:ascii="Arial" w:hAnsi="Arial" w:eastAsia="Arial"/>
          <w:b/>
          <w:i w:val="0"/>
          <w:color w:val="143D59"/>
          <w:sz w:val="21"/>
          <w:u w:val="none"/>
        </w:rPr>
        <w:t>WORK EXPERIENCE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52"/>
        <w:gridCol w:w="2088"/>
        <w:gridCol w:w="1224"/>
      </w:tblGrid>
      <w:tr>
        <w:tc>
          <w:tcPr>
            <w:tcW w:type="dxa" w:w="65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24272A"/>
                <w:sz w:val="17"/>
                <w:u w:val="none"/>
              </w:rPr>
              <w:t xml:space="preserve">FP&amp;A Analyst | </w:t>
            </w:r>
            <w:hyperlink r:id="rId14">
              <w:r>
                <w:rPr>
                  <w:rFonts w:ascii="Arial" w:hAnsi="Arial" w:eastAsia="Arial" w:cs="Arial"/>
                  <w:sz w:val="21"/>
                  <w:color w:val="005BA0"/>
                  <w:u w:val="none"/>
                </w:rPr>
                <w:t>BEE Logistics Corporation</w:t>
              </w:r>
            </w:hyperlink>
          </w:p>
        </w:tc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45B64"/>
                <w:sz w:val="17"/>
                <w:u w:val="none"/>
              </w:rPr>
              <w:t>Sep 2025 - Jun 2026</w:t>
            </w:r>
          </w:p>
        </w:tc>
        <w:tc>
          <w:tcPr>
            <w:tcW w:type="dxa" w:w="122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45B64"/>
                <w:sz w:val="17"/>
                <w:u w:val="none"/>
              </w:rPr>
              <w:t>HCMC, VN</w:t>
            </w:r>
          </w:p>
        </w:tc>
      </w:tr>
    </w:tbl>
    <w:p>
      <w:pPr>
        <w:keepNext/>
        <w:spacing w:before="64" w:after="48" w:line="240" w:lineRule="auto"/>
        <w:jc w:val="left"/>
      </w:pPr>
      <w:r>
        <w:rPr>
          <w:rFonts w:ascii="Arial" w:hAnsi="Arial" w:eastAsia="Arial"/>
          <w:b/>
          <w:i w:val="0"/>
          <w:color w:val="143D59"/>
          <w:sz w:val="19"/>
          <w:u w:val="none"/>
        </w:rPr>
        <w:t>Annual Budgeting &amp; Forecasting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Supported 2026 annual budgeting for BEEHCM; updated P&amp;L/budget actuals and built target allocation views for BEEHCM, five subsidiaries, and one associate company.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Allocated sales and department targets from office-level plans; reviewed budget versions, bonus/welfare inputs, monthly actuals, and performance tracking files to support target finalization.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Enabled executive budget reviews with sales target setting, department target allocation, monthly actuals, and 2026 performance tracking/evaluation files.</w:t>
      </w:r>
    </w:p>
    <w:p>
      <w:pPr>
        <w:keepNext/>
        <w:spacing w:before="64" w:after="48" w:line="240" w:lineRule="auto"/>
        <w:jc w:val="left"/>
      </w:pPr>
      <w:r>
        <w:rPr>
          <w:rFonts w:ascii="Arial" w:hAnsi="Arial" w:eastAsia="Arial"/>
          <w:b/>
          <w:i w:val="0"/>
          <w:color w:val="143D59"/>
          <w:sz w:val="19"/>
          <w:u w:val="none"/>
        </w:rPr>
        <w:t>Monthly Management Reporting &amp; Power BI Dashboard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Prepared monthly performance reports for BEEHCM, including revenue, gross profit, EBIT, SG&amp;A/G&amp;A, department performance, sales performance, and budget-vs-actual variance updates.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Built decision-ready management packs for CFO/BOD reviews, covering revenue, gross profit, EBIT, SG&amp;A/G&amp;A, department performance, and key variance drivers.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Prepared finance and operational datasets for BI reporting across G&amp;A, HR, AR, sales, Import Air, and actual/budget files; supported dashboard builds for subsidiary performance tracking.</w:t>
      </w:r>
    </w:p>
    <w:p>
      <w:pPr>
        <w:keepNext/>
        <w:spacing w:before="64" w:after="48" w:line="240" w:lineRule="auto"/>
        <w:jc w:val="left"/>
      </w:pPr>
      <w:r>
        <w:rPr>
          <w:rFonts w:ascii="Arial" w:hAnsi="Arial" w:eastAsia="Arial"/>
          <w:b/>
          <w:i w:val="0"/>
          <w:color w:val="143D59"/>
          <w:sz w:val="19"/>
          <w:u w:val="none"/>
        </w:rPr>
        <w:t>Commercial Analysis, AR &amp; Working Capital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Analyzed customer, lane/service, department, and agent profitability; flagged low-margin customers, negative-margin cases, and customer groups requiring cooperation review.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Prepared AR and working-capital views, including top overdue customers, AR aging over 90 days, margin-on-AR/margin-on-revenue checks, and 5-month AR comparison analysis.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Supported commercial deep dives such as warehouse cost efficiency, Import Air by industry/country, top customers, electronic component customers, and sales growth analysis.</w:t>
      </w:r>
    </w:p>
    <w:p>
      <w:pPr>
        <w:keepNext/>
        <w:spacing w:before="64" w:after="48" w:line="240" w:lineRule="auto"/>
        <w:jc w:val="left"/>
      </w:pPr>
      <w:r>
        <w:rPr>
          <w:rFonts w:ascii="Arial" w:hAnsi="Arial" w:eastAsia="Arial"/>
          <w:b/>
          <w:i w:val="0"/>
          <w:color w:val="143D59"/>
          <w:sz w:val="19"/>
          <w:u w:val="none"/>
        </w:rPr>
        <w:t>Sales Incentive &amp; KPI Management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Calculated sales bonus/profit sharing and KPI results; checked overdue interest, excess admin fee, loss files, insurance adjustments, target bonus communication, and quarterly bonus workfiles.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Cross-checked sales adjustment evidence against approval emails, loss/admin-fee documentation, and internal records before sending bonus summaries to accounting and sales stakeholders.</w:t>
      </w:r>
    </w:p>
    <w:p>
      <w:pPr>
        <w:keepNext/>
        <w:spacing w:before="64" w:after="48" w:line="240" w:lineRule="auto"/>
        <w:jc w:val="left"/>
      </w:pPr>
      <w:r>
        <w:rPr>
          <w:rFonts w:ascii="Arial" w:hAnsi="Arial" w:eastAsia="Arial"/>
          <w:b/>
          <w:i w:val="0"/>
          <w:color w:val="143D59"/>
          <w:sz w:val="19"/>
          <w:u w:val="none"/>
        </w:rPr>
        <w:t>Consolidation, Audit Support &amp; Subsidiary Data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Prepared and reviewed data for EY audit requests, including IFRS 16 data, lease contracts, financial statements, tax files, AR schedules, contracts, and subsidiary support data.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Supported consolidation deliverables such as 12M consolidation, Q1.2026 consolidation report, subsidiary data updates, and review of multi-entity data packs.</w:t>
      </w:r>
    </w:p>
    <w:p>
      <w:pPr>
        <w:keepNext/>
        <w:spacing w:before="64" w:after="48" w:line="240" w:lineRule="auto"/>
        <w:jc w:val="left"/>
      </w:pPr>
      <w:r>
        <w:rPr>
          <w:rFonts w:ascii="Arial" w:hAnsi="Arial" w:eastAsia="Arial"/>
          <w:b/>
          <w:color w:val="143D59"/>
          <w:sz w:val="19"/>
          <w:u w:val="none"/>
        </w:rPr>
        <w:t>BI, Python Automation &amp; Agentic AI Workflow Design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Worked with BI/IT teams on monthly reporting data flows, bonus-function requirements, and controlled automation of recurring FP&amp;A data preparation.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Built a Python-assisted monthly data pipeline processing about 16-20M cells from raw extraction to formatted Excel output, reducing manual preparation time by about 90%.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Translated recurring FP&amp;A reporting steps into agent-ready workflow logic: data intake, validation checks, exception flagging, draft commentary, action routing, and human approval checkpoints.</w:t>
      </w:r>
    </w:p>
    <w:p>
      <w:r>
        <w:br w:type="page"/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52"/>
        <w:gridCol w:w="2088"/>
        <w:gridCol w:w="1224"/>
      </w:tblGrid>
      <w:tr>
        <w:tc>
          <w:tcPr>
            <w:tcW w:type="dxa" w:w="65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24272A"/>
                <w:sz w:val="17"/>
                <w:u w:val="none"/>
              </w:rPr>
              <w:t xml:space="preserve">Finance Intern | </w:t>
            </w:r>
            <w:hyperlink r:id="rId15">
              <w:r>
                <w:rPr>
                  <w:rFonts w:ascii="Arial" w:hAnsi="Arial" w:eastAsia="Arial" w:cs="Arial"/>
                  <w:sz w:val="21"/>
                  <w:color w:val="005BA0"/>
                  <w:u w:val="none"/>
                </w:rPr>
                <w:t>DHL Global Forwarding</w:t>
              </w:r>
            </w:hyperlink>
          </w:p>
        </w:tc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45B64"/>
                <w:sz w:val="17"/>
                <w:u w:val="none"/>
              </w:rPr>
              <w:t>Mar 2025 - Sep 2025</w:t>
            </w:r>
          </w:p>
        </w:tc>
        <w:tc>
          <w:tcPr>
            <w:tcW w:type="dxa" w:w="122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45B64"/>
                <w:sz w:val="17"/>
                <w:u w:val="none"/>
              </w:rPr>
              <w:t>HCMC, VN</w:t>
            </w:r>
          </w:p>
        </w:tc>
      </w:tr>
    </w:tbl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Reconciled 600 vendor accounts across Cargowise and ERP S21, resolving 400 discrepancies in tax codes, GL allocations, and vendor master data; reduced recurring errors by 30% through standardized tracking.</w:t>
      </w:r>
    </w:p>
    <w:p>
      <w:pPr>
        <w:pStyle w:val="ListBullet"/>
        <w:keepNext w:val="0"/>
        <w:spacing w:before="0" w:after="76" w:line="288" w:lineRule="auto"/>
        <w:ind w:left="518" w:hanging="259"/>
        <w:jc w:val="both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Processed 150+ invoices/month across 30 GL accounts, verified SAP Concur travel claims, managed customs tax pre-payments, and supported cash-flow forecasting in an English-speaking MNC environment.</w:t>
      </w:r>
    </w:p>
    <w:p>
      <w:pPr>
        <w:keepNext/>
        <w:spacing w:before="150" w:after="130" w:line="240" w:lineRule="auto"/>
        <w:pBdr>
          <w:bottom w:val="single" w:sz="6" w:space="4" w:color="D6DEE6"/>
        </w:pBdr>
        <w:jc w:val="left"/>
      </w:pPr>
      <w:r>
        <w:rPr>
          <w:rFonts w:ascii="Arial" w:hAnsi="Arial" w:eastAsia="Arial"/>
          <w:b/>
          <w:i w:val="0"/>
          <w:color w:val="143D59"/>
          <w:sz w:val="21"/>
          <w:u w:val="none"/>
        </w:rPr>
        <w:t>EDUCATION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52"/>
        <w:gridCol w:w="2088"/>
        <w:gridCol w:w="1224"/>
      </w:tblGrid>
      <w:tr>
        <w:tc>
          <w:tcPr>
            <w:tcW w:type="dxa" w:w="6552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24272A"/>
                <w:sz w:val="17"/>
                <w:u w:val="none"/>
              </w:rPr>
              <w:t xml:space="preserve">Bachelor of Finance | </w:t>
            </w:r>
            <w:hyperlink r:id="rId16">
              <w:r>
                <w:rPr>
                  <w:rFonts w:ascii="Arial" w:hAnsi="Arial" w:eastAsia="Arial" w:cs="Arial"/>
                  <w:sz w:val="21"/>
                  <w:color w:val="005BA0"/>
                  <w:u w:val="none"/>
                </w:rPr>
                <w:t>University of Economics HCMC (UEH)</w:t>
              </w:r>
            </w:hyperlink>
          </w:p>
        </w:tc>
        <w:tc>
          <w:tcPr>
            <w:tcW w:type="dxa" w:w="208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45B64"/>
                <w:sz w:val="17"/>
                <w:u w:val="none"/>
              </w:rPr>
              <w:t>2021 - 2025</w:t>
            </w:r>
          </w:p>
        </w:tc>
        <w:tc>
          <w:tcPr>
            <w:tcW w:type="dxa" w:w="1224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keepNext w:val="0"/>
              <w:spacing w:before="0" w:after="44" w:line="26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545B64"/>
                <w:sz w:val="17"/>
                <w:u w:val="none"/>
              </w:rPr>
              <w:t>HCMC, VN</w:t>
            </w:r>
          </w:p>
        </w:tc>
      </w:tr>
    </w:tbl>
    <w:p>
      <w:pPr>
        <w:pStyle w:val="ListBullet"/>
        <w:keepNext w:val="0"/>
        <w:spacing w:before="0" w:after="76" w:line="288" w:lineRule="auto"/>
        <w:ind w:left="518" w:hanging="259"/>
        <w:jc w:val="left"/>
      </w:pPr>
      <w:r>
        <w:rPr>
          <w:rFonts w:ascii="Arial" w:hAnsi="Arial" w:eastAsia="Arial"/>
          <w:b w:val="1"/>
          <w:i w:val="0"/>
          <w:color w:val="143D59"/>
          <w:sz w:val="18"/>
          <w:u w:val="none"/>
        </w:rPr>
        <w:t>GPA: 3.9 / 4.0</w:t>
      </w: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 xml:space="preserve"> | </w:t>
      </w:r>
      <w:r>
        <w:rPr>
          <w:rFonts w:ascii="Arial" w:hAnsi="Arial" w:eastAsia="Arial"/>
          <w:b w:val="1"/>
          <w:i w:val="0"/>
          <w:color w:val="143D59"/>
          <w:sz w:val="18"/>
          <w:u w:val="none"/>
        </w:rPr>
        <w:t>2x Excellence Scholarship recipient.</w:t>
      </w:r>
    </w:p>
    <w:p>
      <w:pPr>
        <w:pStyle w:val="ListBullet"/>
        <w:keepNext w:val="0"/>
        <w:spacing w:before="0" w:after="76" w:line="288" w:lineRule="auto"/>
        <w:ind w:left="518" w:hanging="259"/>
        <w:jc w:val="left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Published financial trend analysis in 4 university research competitions; developed critical analysis and strategic communication skills.</w:t>
      </w:r>
    </w:p>
    <w:p>
      <w:pPr>
        <w:keepNext/>
        <w:spacing w:before="150" w:after="130" w:line="240" w:lineRule="auto"/>
        <w:pBdr>
          <w:bottom w:val="single" w:sz="6" w:space="4" w:color="D6DEE6"/>
        </w:pBdr>
        <w:jc w:val="left"/>
      </w:pPr>
      <w:r>
        <w:rPr>
          <w:rFonts w:ascii="Arial" w:hAnsi="Arial" w:eastAsia="Arial"/>
          <w:b/>
          <w:i w:val="0"/>
          <w:color w:val="143D59"/>
          <w:sz w:val="21"/>
          <w:u w:val="none"/>
        </w:rPr>
        <w:t>SKILLS &amp; TOOLS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45"/>
        <w:gridCol w:w="4945"/>
      </w:tblGrid>
      <w:tr>
        <w:tc>
          <w:tcPr>
            <w:tcW w:type="dxa" w:w="150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/>
                <w:color w:val="143D59"/>
                <w:sz w:val="17"/>
              </w:rPr>
              <w:t>FP&amp;A</w:t>
            </w:r>
          </w:p>
        </w:tc>
        <w:tc>
          <w:tcPr>
            <w:tcW w:type="dxa" w:w="78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4272A"/>
                <w:sz w:val="17"/>
              </w:rPr>
              <w:t>Budgeting &amp; Forecasting, Management Reporting, Variance Analysis, P&amp;L &amp; Profitability Analysis, KPI Tracking</w:t>
            </w:r>
          </w:p>
        </w:tc>
      </w:tr>
      <w:tr>
        <w:tc>
          <w:tcPr>
            <w:tcW w:type="dxa" w:w="150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/>
                <w:color w:val="143D59"/>
                <w:sz w:val="17"/>
              </w:rPr>
              <w:t>BI &amp; Automation</w:t>
            </w:r>
          </w:p>
        </w:tc>
        <w:tc>
          <w:tcPr>
            <w:tcW w:type="dxa" w:w="78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line="269" w:lineRule="auto" w:after="44"/>
              <w:jc w:val="left"/>
            </w:pPr>
            <w:r>
              <w:rPr>
                <w:rFonts w:ascii="Arial" w:hAnsi="Arial" w:eastAsia="Arial" w:cs="Arial"/>
                <w:b w:val="0"/>
                <w:color w:val="24272A"/>
                <w:sz w:val="17"/>
              </w:rPr>
              <w:t>Excel (advanced), Power BI, Power Query, DAX, Python (pandas, openpyxl), SQL, CubeValue</w:t>
            </w:r>
          </w:p>
        </w:tc>
      </w:tr>
      <w:tr>
        <w:tc>
          <w:tcPr>
            <w:tcW w:type="dxa" w:w="150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/>
                <w:color w:val="143D59"/>
                <w:sz w:val="17"/>
              </w:rPr>
              <w:t>Agentic AI</w:t>
            </w:r>
          </w:p>
        </w:tc>
        <w:tc>
          <w:tcPr>
            <w:tcW w:type="dxa" w:w="78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spacing w:line="269" w:lineRule="auto" w:after="44"/>
              <w:jc w:val="left"/>
            </w:pPr>
            <w:r>
              <w:rPr>
                <w:rFonts w:ascii="Arial" w:hAnsi="Arial" w:eastAsia="Arial" w:cs="Arial"/>
                <w:b w:val="0"/>
                <w:color w:val="24272A"/>
                <w:sz w:val="17"/>
              </w:rPr>
              <w:t>Workflow automation, human-in-the-loop controls, multi-agent delegation, reusable agent skills, context management, MCP, RAG, HTML slide creation</w:t>
            </w:r>
          </w:p>
        </w:tc>
      </w:tr>
      <w:tr>
        <w:tc>
          <w:tcPr>
            <w:tcW w:type="dxa" w:w="150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/>
                <w:color w:val="143D59"/>
                <w:sz w:val="17"/>
              </w:rPr>
              <w:t>AI Platforms</w:t>
            </w:r>
          </w:p>
        </w:tc>
        <w:tc>
          <w:tcPr>
            <w:tcW w:type="dxa" w:w="78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4272A"/>
                <w:sz w:val="17"/>
              </w:rPr>
              <w:t>ChatGPT, Codex, Claude, GitHub Copilot Pro</w:t>
            </w:r>
          </w:p>
        </w:tc>
      </w:tr>
      <w:tr>
        <w:tc>
          <w:tcPr>
            <w:tcW w:type="dxa" w:w="150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/>
                <w:color w:val="143D59"/>
                <w:sz w:val="17"/>
              </w:rPr>
              <w:t>Systems</w:t>
            </w:r>
          </w:p>
        </w:tc>
        <w:tc>
          <w:tcPr>
            <w:tcW w:type="dxa" w:w="78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4272A"/>
                <w:sz w:val="17"/>
              </w:rPr>
              <w:t>CargoWise, ERP S21, SAP Concur, GitHub, VS Code</w:t>
            </w:r>
          </w:p>
        </w:tc>
      </w:tr>
      <w:tr>
        <w:tc>
          <w:tcPr>
            <w:tcW w:type="dxa" w:w="150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/>
                <w:color w:val="143D59"/>
                <w:sz w:val="17"/>
              </w:rPr>
              <w:t>Languages</w:t>
            </w:r>
          </w:p>
        </w:tc>
        <w:tc>
          <w:tcPr>
            <w:tcW w:type="dxa" w:w="7860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  <w:shd w:fill="FFFFFF"/>
          </w:tcPr>
          <w:p>
            <w:pPr>
              <w:keepNext w:val="0"/>
              <w:spacing w:before="0" w:after="44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4272A"/>
                <w:sz w:val="17"/>
              </w:rPr>
              <w:t>Vietnamese (Native) | English (IELTS 6.5)</w:t>
            </w:r>
          </w:p>
        </w:tc>
      </w:tr>
    </w:tbl>
    <w:p>
      <w:pPr>
        <w:keepNext/>
        <w:spacing w:before="150" w:after="130" w:line="240" w:lineRule="auto"/>
        <w:jc w:val="left"/>
        <w:pBdr>
          <w:bottom w:val="single" w:sz="6" w:space="4" w:color="D6DEE6"/>
        </w:pBdr>
      </w:pPr>
      <w:r>
        <w:rPr>
          <w:rFonts w:ascii="Arial" w:hAnsi="Arial" w:eastAsia="Arial"/>
          <w:b/>
          <w:i w:val="0"/>
          <w:color w:val="143D59"/>
          <w:sz w:val="21"/>
          <w:u w:val="none"/>
        </w:rPr>
        <w:t>PORTFOLIO BRIEF</w:t>
      </w:r>
    </w:p>
    <w:p>
      <w:pPr>
        <w:pStyle w:val="ListBullet"/>
        <w:spacing w:after="76" w:line="288" w:lineRule="auto"/>
        <w:ind w:left="518" w:hanging="259"/>
        <w:jc w:val="left"/>
      </w:pPr>
      <w:hyperlink r:id="rId13">
        <w:r>
          <w:rPr>
            <w:rFonts w:ascii="Arial" w:hAnsi="Arial" w:eastAsia="Arial" w:cs="Arial"/>
            <w:color w:val="1F5F8B"/>
            <w:sz w:val="18"/>
            <w:szCs w:val="18"/>
            <w:b/>
            <w:u w:val="none"/>
          </w:rPr>
          <w:t>Portfolio</w:t>
        </w:r>
      </w:hyperlink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: Public-safe FP&amp;A/analytics showcase with Power BI products, Python automation samples, sanitized decision cases, and model QA notes.</w:t>
      </w:r>
    </w:p>
    <w:p>
      <w:pPr>
        <w:pStyle w:val="ListBullet"/>
        <w:spacing w:after="76" w:line="288" w:lineRule="auto"/>
        <w:ind w:left="518" w:hanging="259"/>
        <w:jc w:val="left"/>
      </w:pPr>
      <w:hyperlink r:id="rId18">
        <w:r>
          <w:rPr>
            <w:rFonts w:ascii="Arial" w:hAnsi="Arial" w:eastAsia="Arial" w:cs="Arial"/>
            <w:color w:val="1F5F8B"/>
            <w:sz w:val="18"/>
            <w:szCs w:val="18"/>
            <w:b/>
            <w:u w:val="none"/>
          </w:rPr>
          <w:t>GitHub</w:t>
        </w:r>
      </w:hyperlink>
      <w:r>
        <w:rPr>
          <w:rFonts w:ascii="Arial" w:hAnsi="Arial" w:eastAsia="Arial"/>
          <w:b w:val="0"/>
          <w:color w:val="24272A"/>
          <w:sz w:val="18"/>
          <w:u w:val="none"/>
        </w:rPr>
        <w:t>: 20-project BI portfolio, being completed progressively: Monthly FP&amp;A Performance Pack, Driver-Based Forecasting, executive decision cases, Python monthly reporting/KPI distribution, plus planned briefs for regional FP&amp;A, treasury, SaaS, payments, risk, governance, and board reporting.</w:t>
      </w:r>
    </w:p>
    <w:p>
      <w:pPr>
        <w:pStyle w:val="ListBullet"/>
        <w:spacing w:after="76" w:line="288" w:lineRule="auto"/>
        <w:ind w:left="518" w:hanging="259"/>
        <w:jc w:val="left"/>
      </w:pPr>
      <w:hyperlink r:id="rId21" w:history="1">
        <w:r>
          <w:rPr>
            <w:rFonts w:ascii="Arial" w:hAnsi="Arial" w:eastAsia="Arial" w:cs="Arial"/>
            <w:color w:val="1F5F8B"/>
            <w:sz w:val="18"/>
            <w:szCs w:val="18"/>
            <w:b/>
            <w:u w:val="none"/>
          </w:rPr>
          <w:t>Predictive Collections Agent (AABW 2026):</w:t>
        </w:r>
      </w:hyperlink>
      <w:r>
        <w:rPr>
          <w:rFonts w:ascii="Arial" w:hAnsi="Arial" w:eastAsia="Arial"/>
          <w:b w:val="0"/>
          <w:color w:val="24272A"/>
          <w:sz w:val="18"/>
          <w:u w:val="none"/>
        </w:rPr>
        <w:t xml:space="preserve"> Designed a mock-data, 7-14-day early-warning and next-best-action workflow with explainable recommendations, human approval gates, an illustrative finance case, and controlled-pilot KPIs; delivered a six-slide HTML pitch deck and focused demo. </w:t>
      </w:r>
      <w:hyperlink r:id="rId19" w:history="1">
        <w:r>
          <w:rPr>
            <w:rFonts w:ascii="Arial" w:hAnsi="Arial" w:eastAsia="Arial" w:cs="Arial"/>
            <w:color w:val="1F5F8B"/>
            <w:sz w:val="18"/>
            <w:szCs w:val="18"/>
            <w:b/>
            <w:u w:val="none"/>
          </w:rPr>
          <w:t>Pitch Deck</w:t>
        </w:r>
      </w:hyperlink>
      <w:r>
        <w:rPr>
          <w:rFonts w:ascii="Arial" w:hAnsi="Arial" w:eastAsia="Arial"/>
          <w:b w:val="0"/>
          <w:color w:val="24272A"/>
          <w:sz w:val="18"/>
          <w:u w:val="none"/>
        </w:rPr>
        <w:t xml:space="preserve"> | </w:t>
      </w:r>
      <w:hyperlink r:id="rId20" w:history="1">
        <w:r>
          <w:rPr>
            <w:rFonts w:ascii="Arial" w:hAnsi="Arial" w:eastAsia="Arial" w:cs="Arial"/>
            <w:color w:val="1F5F8B"/>
            <w:sz w:val="18"/>
            <w:szCs w:val="18"/>
            <w:b/>
            <w:u w:val="none"/>
          </w:rPr>
          <w:t>AABW 2026 Recap</w:t>
        </w:r>
      </w:hyperlink>
    </w:p>
    <w:p>
      <w:pPr>
        <w:keepNext/>
        <w:spacing w:before="150" w:after="130" w:line="240" w:lineRule="auto"/>
        <w:pBdr>
          <w:bottom w:val="single" w:sz="6" w:space="4" w:color="D6DEE6"/>
        </w:pBdr>
        <w:jc w:val="left"/>
      </w:pPr>
      <w:r>
        <w:rPr>
          <w:rFonts w:ascii="Arial" w:hAnsi="Arial" w:eastAsia="Arial"/>
          <w:b/>
          <w:i w:val="0"/>
          <w:color w:val="143D59"/>
          <w:sz w:val="21"/>
          <w:u w:val="none"/>
        </w:rPr>
        <w:t>ACTIVITIES</w:t>
      </w:r>
    </w:p>
    <w:p>
      <w:pPr>
        <w:pStyle w:val="ListBullet"/>
        <w:keepNext w:val="0"/>
        <w:spacing w:before="0" w:after="76" w:line="288" w:lineRule="auto"/>
        <w:ind w:left="518" w:hanging="259"/>
        <w:jc w:val="left"/>
      </w:pPr>
      <w:hyperlink r:id="rId17">
        <w:r>
          <w:rPr>
            <w:rFonts w:ascii="Arial" w:hAnsi="Arial" w:eastAsia="Arial" w:cs="Arial"/>
            <w:sz w:val="18"/>
            <w:color w:val="1F5F8B"/>
            <w:u w:val="none"/>
            <w:b w:val="1"/>
          </w:rPr>
          <w:t>Agentic AI Build Week 2026 - GenAI Fund</w:t>
        </w:r>
      </w:hyperlink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 xml:space="preserve"> | Product &amp; Finance Contributor, 8-12 Jul 2026: completed a 5-day on-site buildathon in Ho Chi Minh City, contributing problem framing, workflow design, product storytelling, and demo delivery.</w:t>
      </w:r>
    </w:p>
    <w:p>
      <w:pPr>
        <w:pStyle w:val="ListBullet"/>
        <w:spacing w:line="288" w:lineRule="auto" w:after="76"/>
        <w:ind w:left="518" w:hanging="259"/>
        <w:jc w:val="left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Claude AI Training for Finance &amp; Accounting Teams | Internal trainer: trained finance/accounting users across 14 BUs on applying Claude AI to daily work, including prompt structure, Excel/reporting use cases, review controls, and safe adoption habits.</w:t>
      </w:r>
    </w:p>
    <w:p>
      <w:pPr>
        <w:pStyle w:val="ListBullet"/>
        <w:keepNext w:val="0"/>
        <w:spacing w:before="0" w:after="76" w:line="288" w:lineRule="auto"/>
        <w:ind w:left="518" w:hanging="259"/>
        <w:jc w:val="left"/>
      </w:pPr>
      <w:r>
        <w:rPr>
          <w:rFonts w:ascii="Arial" w:hAnsi="Arial" w:eastAsia="Arial"/>
          <w:b w:val="0"/>
          <w:i w:val="0"/>
          <w:color w:val="24272A"/>
          <w:sz w:val="18"/>
          <w:u w:val="none"/>
        </w:rPr>
        <w:t>HR Member, Students' Finance Research Club - UEH (2021-2023): organized workshops and team-building events for 80-200 attendees; built leadership and project coordination experience.</w:t>
      </w:r>
    </w:p>
    <w:p/>
    <w:p/>
    <w:p/>
    <w:sectPr w:rsidR="00FC693F" w:rsidRPr="0006063C" w:rsidSect="00034616">
      <w:pgSz w:w="11906" w:h="16838"/>
      <w:pgMar w:top="691" w:right="1008" w:bottom="691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242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0" w:lineRule="auto"/>
      <w:ind w:left="605" w:hanging="259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84902339411" TargetMode="External"/><Relationship Id="rId10" Type="http://schemas.openxmlformats.org/officeDocument/2006/relationships/hyperlink" Target="mailto:truongtu293@gmail.com" TargetMode="External"/><Relationship Id="rId11" Type="http://schemas.openxmlformats.org/officeDocument/2006/relationships/hyperlink" Target="https://www.linkedin.com/in/truongtu293/" TargetMode="External"/><Relationship Id="rId12" Type="http://schemas.openxmlformats.org/officeDocument/2006/relationships/hyperlink" Target="https://github.com/Tudzai" TargetMode="External"/><Relationship Id="rId13" Type="http://schemas.openxmlformats.org/officeDocument/2006/relationships/hyperlink" Target="https://tudzai.github.io/Portfolio/" TargetMode="External"/><Relationship Id="rId14" Type="http://schemas.openxmlformats.org/officeDocument/2006/relationships/hyperlink" Target="https://vn.linkedin.com/company/bee-logistics-corporation" TargetMode="External"/><Relationship Id="rId15" Type="http://schemas.openxmlformats.org/officeDocument/2006/relationships/hyperlink" Target="https://www.linkedin.com/company/dhl-global-forwarding" TargetMode="External"/><Relationship Id="rId16" Type="http://schemas.openxmlformats.org/officeDocument/2006/relationships/hyperlink" Target="https://www.ueh.edu.vn/en/" TargetMode="External"/><Relationship Id="rId17" Type="http://schemas.openxmlformats.org/officeDocument/2006/relationships/hyperlink" Target="https://agenticaibuildweek.genaifund.ai/#home" TargetMode="External"/><Relationship Id="rId18" Type="http://schemas.openxmlformats.org/officeDocument/2006/relationships/hyperlink" Target="https://github.com/Tudzai/powerbi-fpa-analytics-portfolio" TargetMode="External"/><Relationship Id="rId19" Type="http://schemas.openxmlformats.org/officeDocument/2006/relationships/hyperlink" Target="https://tudzai.github.io/Portfolio/collections-agent/" TargetMode="External"/><Relationship Id="rId20" Type="http://schemas.openxmlformats.org/officeDocument/2006/relationships/hyperlink" Target="https://tudzai.github.io/Portfolio/blog/aabw-2026-recap/" TargetMode="External"/><Relationship Id="rId21" Type="http://schemas.openxmlformats.org/officeDocument/2006/relationships/hyperlink" Target="https://gotyme-collections-dashboard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Truong Dinh Anh Tu - CV</dc:title>
  <dc:subject>FP&amp;A Analyst CV</dc:subject>
  <dc:creator>Truong Dinh Anh Tu</dc:creator>
  <cp:keywords>FP&amp;A, finance analytics, Power BI, Python, Agentic AI,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