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 w:line="240" w:lineRule="auto"/>
        <w:jc w:val="center"/>
      </w:pPr>
      <w:r>
        <w:rPr>
          <w:rFonts w:ascii="Arial" w:hAnsi="Arial"/>
          <w:b/>
          <w:color w:val="143D59"/>
          <w:sz w:val="46"/>
        </w:rPr>
        <w:t>TRUONG DINH ANH TU</w:t>
      </w:r>
    </w:p>
    <w:p>
      <w:pPr>
        <w:keepNext w:val="0"/>
        <w:spacing w:before="0" w:after="40" w:line="240" w:lineRule="auto"/>
        <w:jc w:val="center"/>
      </w:pPr>
      <w:r>
        <w:rPr>
          <w:rFonts w:ascii="Arial" w:hAnsi="Arial" w:eastAsia="Arial"/>
          <w:b w:val="0"/>
          <w:i w:val="0"/>
          <w:color w:val="545B64"/>
          <w:sz w:val="21"/>
          <w:u w:val="none"/>
        </w:rPr>
        <w:t>FP&amp;A Analyst | Finance Analytics | Python Automation | BI Automation</w:t>
      </w:r>
    </w:p>
    <w:p>
      <w:pPr>
        <w:keepNext w:val="0"/>
        <w:spacing w:before="0" w:after="160" w:line="240" w:lineRule="auto"/>
        <w:pBdr>
          <w:bottom w:val="single" w:sz="8" w:space="8" w:color="8CA8BF"/>
        </w:pBdr>
        <w:jc w:val="center"/>
      </w:pPr>
      <w:r>
        <w:rPr>
          <w:rFonts w:ascii="Arial" w:hAnsi="Arial"/>
          <w:color w:val="545B64"/>
          <w:sz w:val="18"/>
        </w:rPr>
        <w:t>Ho Chi Minh City, Vietnam</w:t>
      </w:r>
      <w:r>
        <w:rPr>
          <w:rFonts w:ascii="Arial" w:hAnsi="Arial"/>
          <w:color w:val="545B64"/>
          <w:sz w:val="18"/>
        </w:rPr>
        <w:t xml:space="preserve"> | </w:t>
      </w:r>
      <w:hyperlink r:id="rId9">
        <w:r>
          <w:rPr>
            <w:rFonts w:ascii="Arial" w:hAnsi="Arial"/>
            <w:sz w:val="18"/>
            <w:color w:val="1F5F8B"/>
            <w:u w:val="none"/>
          </w:rPr>
          <w:t>+84 902 339 411</w:t>
        </w:r>
      </w:hyperlink>
      <w:r>
        <w:rPr>
          <w:rFonts w:ascii="Arial" w:hAnsi="Arial"/>
          <w:color w:val="545B64"/>
          <w:sz w:val="18"/>
        </w:rPr>
        <w:t xml:space="preserve"> | </w:t>
      </w:r>
      <w:hyperlink r:id="rId10">
        <w:r>
          <w:rPr>
            <w:rFonts w:ascii="Arial" w:hAnsi="Arial"/>
            <w:sz w:val="18"/>
            <w:color w:val="1F5F8B"/>
            <w:u w:val="none"/>
          </w:rPr>
          <w:t>truongtu293@gmail.com</w:t>
        </w:r>
      </w:hyperlink>
      <w:r>
        <w:rPr>
          <w:rFonts w:ascii="Arial" w:hAnsi="Arial"/>
          <w:color w:val="545B64"/>
          <w:sz w:val="18"/>
        </w:rPr>
        <w:t xml:space="preserve"> | </w:t>
      </w:r>
      <w:hyperlink r:id="rId11">
        <w:r>
          <w:rPr>
            <w:rFonts w:ascii="Arial" w:hAnsi="Arial"/>
            <w:sz w:val="18"/>
            <w:color w:val="1F5F8B"/>
            <w:u w:val="none"/>
          </w:rPr>
          <w:t>LinkedIn</w:t>
        </w:r>
      </w:hyperlink>
      <w:r>
        <w:rPr>
          <w:rFonts w:ascii="Arial" w:hAnsi="Arial"/>
          <w:color w:val="545B64"/>
          <w:sz w:val="18"/>
        </w:rPr>
        <w:t xml:space="preserve"> | </w:t>
      </w:r>
      <w:hyperlink r:id="rId12">
        <w:r>
          <w:rPr>
            <w:rFonts w:ascii="Arial" w:hAnsi="Arial"/>
            <w:sz w:val="18"/>
            <w:color w:val="1F5F8B"/>
            <w:u w:val="none"/>
          </w:rPr>
          <w:t>GitHub</w:t>
        </w:r>
      </w:hyperlink>
      <w:r>
        <w:rPr>
          <w:rFonts w:ascii="Arial" w:hAnsi="Arial"/>
          <w:color w:val="545B64"/>
          <w:sz w:val="18"/>
        </w:rPr>
        <w:t xml:space="preserve"> | </w:t>
      </w:r>
      <w:hyperlink r:id="rId13">
        <w:r>
          <w:rPr>
            <w:rFonts w:ascii="Arial" w:hAnsi="Arial"/>
            <w:sz w:val="18"/>
            <w:color w:val="1F5F8B"/>
            <w:u w:val="none"/>
          </w:rPr>
          <w:t>Portfolio</w:t>
        </w:r>
      </w:hyperlink>
    </w:p>
    <w:p>
      <w:pPr>
        <w:keepNext/>
        <w:spacing w:before="140" w:after="12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PROFESSIONAL SUMMARY</w:t>
      </w:r>
    </w:p>
    <w:p>
      <w:pPr>
        <w:keepNext w:val="0"/>
        <w:spacing w:before="0" w:after="60" w:line="269" w:lineRule="auto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FP&amp;A analyst with hands-on experience in budgeting, management reporting, KPI governance, commercial analysis, audit support, and BI/Python automation. I turn recurring finance workflows into controlled reporting pipelines, dashboard-ready datasets, variance insights, and agent-assisted review logic while keeping reconciliations and human approval points visible.</w:t>
      </w:r>
    </w:p>
    <w:p>
      <w:pPr>
        <w:keepNext/>
        <w:spacing w:before="140" w:after="12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WORK EXPERIENCE</w:t>
      </w:r>
    </w:p>
    <w:tbl>
      <w:tblPr>
        <w:tblW w:type="dxa" w:w="936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97"/>
        <w:gridCol w:w="3297"/>
        <w:gridCol w:w="3297"/>
      </w:tblGrid>
      <w:tr>
        <w:tc>
          <w:tcPr>
            <w:tcW w:type="dxa" w:w="52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FP&amp;A Analyst | </w:t>
            </w:r>
            <w:hyperlink r:id="rId14">
              <w:r>
                <w:rPr>
                  <w:rFonts w:ascii="Arial" w:hAnsi="Arial"/>
                  <w:sz w:val="21"/>
                  <w:color w:val="005BA0"/>
                  <w:u w:val="none"/>
                </w:rPr>
                <w:t>BEE Logistics Corporation</w:t>
              </w:r>
            </w:hyperlink>
          </w:p>
        </w:tc>
        <w:tc>
          <w:tcPr>
            <w:tcW w:type="dxa" w:w="205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Sep 2025 - Present</w:t>
            </w:r>
          </w:p>
        </w:tc>
        <w:tc>
          <w:tcPr>
            <w:tcW w:type="dxa" w:w="211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Ho Chi Minh City, VN</w:t>
            </w:r>
          </w:p>
        </w:tc>
      </w:tr>
    </w:tbl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Annual Budgeting &amp; Forecasting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2026 annual budgeting for BEEHCM; updated P&amp;L/budget actuals and built target allocation views for BEEHCM, Binh Duong, Dong Nai, Can Tho/Mekong, AOG, and GGA.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Allocated sales and department targets from office-level plans; reviewed budget versions, bonus/welfare inputs, monthly actuals, and performance tracking files to support target finalization.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Enabled executive budget reviews with sales target setting, department target allocation, monthly actuals, and 2026 performance tracking/evaluation files.</w:t>
      </w:r>
    </w:p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Monthly Management Reporting &amp; Power BI Dashboard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monthly performance reports for BEEHCM, including revenue, gross profit, EBIT, SG&amp;A/G&amp;A, department performance, sales performance, and budget-vs-actual variance updates.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Built decision-ready management packs for CFO/BOD reviews, covering revenue, gross profit, EBIT, SG&amp;A/G&amp;A, department performance, and key variance drivers.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finance and operational datasets for BI reporting across G&amp;A, HR, AR, sales, Import Air, and actual/budget files; supported dashboard builds for subsidiary performance tracking.</w:t>
      </w:r>
    </w:p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Commercial Analysis, AR &amp; Working Capital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Analyzed customer, lane/service, department, and agent profitability; flagged low-margin customers, negative-margin cases, and customer groups requiring cooperation review.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AR and working-capital views, including top overdue customers, AR aging over 90 days, margin-on-AR/margin-on-revenue checks, and 5-month AR comparison analysis.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commercial deep dives such as warehouse cost efficiency, Import Air by industry/country, top customers, electronic component customers, and sales growth analysis.</w:t>
      </w:r>
    </w:p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Sales Incentive &amp; KPI Management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Calculated sales bonus/profit sharing and KPI results; checked overdue interest, excess admin fee, loss files, insurance adjustments, target bonus communication, and quarterly bonus workfiles.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Cross-checked sales adjustment evidence against approval emails, loss/admin-fee documentation, and internal records before sending bonus summaries to accounting and sales stakeholders.</w:t>
      </w:r>
    </w:p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Consolidation, Audit Support &amp; Subsidiary Data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and reviewed data for EY audit requests, including IFRS 16 data, lease contracts, financial statements, tax files, AR schedules, contracts, and subsidiary support data.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consolidation deliverables such as 12M consolidation, Q1.2026 consolidation report, subsidiary data updates, and review of multi-entity data packs.</w:t>
      </w:r>
    </w:p>
    <w:p>
      <w:pPr>
        <w:keepNext/>
        <w:spacing w:before="60" w:after="44" w:line="240" w:lineRule="auto"/>
        <w:jc w:val="left"/>
      </w:pPr>
      <w:r>
        <w:rPr>
          <w:rFonts w:ascii="Arial" w:hAnsi="Arial" w:eastAsia="Arial"/>
          <w:b/>
          <w:color w:val="143D59"/>
          <w:sz w:val="19"/>
          <w:u w:val="none"/>
        </w:rPr>
        <w:t>BI, Python Automation &amp; Agentic AI Workflow Design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Worked with BI/IT teams on monthly reporting data flows, bonus-function requirements, and controlled automation of recurring FP&amp;A data preparation.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Built a Python-assisted monthly data pipeline processing about 16-20M cells from raw extraction to formatted Excel output, reducing manual preparation time by about 90%.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Translated recurring FP&amp;A reporting steps into agent-ready workflow logic: data intake, validation checks, exception flagging, draft commentary, action routing, and human approval checkpoints.</w:t>
      </w:r>
    </w:p>
    <w:p>
      <w:r>
        <w:br w:type="page"/>
      </w:r>
    </w:p>
    <w:tbl>
      <w:tblPr>
        <w:tblW w:type="dxa" w:w="936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97"/>
        <w:gridCol w:w="3297"/>
        <w:gridCol w:w="3297"/>
      </w:tblGrid>
      <w:tr>
        <w:tc>
          <w:tcPr>
            <w:tcW w:type="dxa" w:w="52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Finance Intern | </w:t>
            </w:r>
            <w:hyperlink r:id="rId15">
              <w:r>
                <w:rPr>
                  <w:rFonts w:ascii="Arial" w:hAnsi="Arial"/>
                  <w:sz w:val="21"/>
                  <w:color w:val="005BA0"/>
                  <w:u w:val="none"/>
                </w:rPr>
                <w:t>DHL Global Forwarding</w:t>
              </w:r>
            </w:hyperlink>
          </w:p>
        </w:tc>
        <w:tc>
          <w:tcPr>
            <w:tcW w:type="dxa" w:w="205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Mar 2025 - Sep 2025</w:t>
            </w:r>
          </w:p>
        </w:tc>
        <w:tc>
          <w:tcPr>
            <w:tcW w:type="dxa" w:w="211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Ho Chi Minh City, VN</w:t>
            </w:r>
          </w:p>
        </w:tc>
      </w:tr>
    </w:tbl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Reconciled 600 vendor accounts across Cargowise and ERP S21, resolving 400 discrepancies in tax codes, GL allocations, and vendor master data; reduced recurring errors by 30% through standardized tracking.</w:t>
      </w:r>
    </w:p>
    <w:p>
      <w:pPr>
        <w:pStyle w:val="ListBullet"/>
        <w:keepNext w:val="0"/>
        <w:spacing w:before="0" w:after="60" w:line="271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Processed 150+ invoices/month across 30 GL accounts, verified SAP Concur travel claims, managed customs tax pre-payments, and supported cash-flow forecasting in an English-speaking MNC environment.</w:t>
      </w:r>
    </w:p>
    <w:p>
      <w:pPr>
        <w:keepNext/>
        <w:spacing w:before="140" w:after="12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EDUCATION</w:t>
      </w:r>
    </w:p>
    <w:tbl>
      <w:tblPr>
        <w:tblW w:type="dxa" w:w="936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97"/>
        <w:gridCol w:w="3297"/>
        <w:gridCol w:w="3297"/>
      </w:tblGrid>
      <w:tr>
        <w:tc>
          <w:tcPr>
            <w:tcW w:type="dxa" w:w="52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Bachelor of Finance | </w:t>
            </w:r>
            <w:hyperlink r:id="rId16">
              <w:r>
                <w:rPr>
                  <w:rFonts w:ascii="Arial" w:hAnsi="Arial"/>
                  <w:sz w:val="21"/>
                  <w:color w:val="005BA0"/>
                  <w:u w:val="none"/>
                </w:rPr>
                <w:t>University of Economics Ho Chi Minh City (UEH)</w:t>
              </w:r>
            </w:hyperlink>
          </w:p>
        </w:tc>
        <w:tc>
          <w:tcPr>
            <w:tcW w:type="dxa" w:w="205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2021 - 2025</w:t>
            </w:r>
          </w:p>
        </w:tc>
        <w:tc>
          <w:tcPr>
            <w:tcW w:type="dxa" w:w="211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16" w:line="252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Ho Chi Minh City, VN</w:t>
            </w:r>
          </w:p>
        </w:tc>
      </w:tr>
    </w:tbl>
    <w:p>
      <w:pPr>
        <w:pStyle w:val="ListBullet"/>
        <w:keepNext w:val="0"/>
        <w:spacing w:before="0" w:after="60" w:line="271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GPA: 3.9 / 4.0; 2x Excellence Scholarship recipient.</w:t>
      </w:r>
    </w:p>
    <w:p>
      <w:pPr>
        <w:pStyle w:val="ListBullet"/>
        <w:keepNext w:val="0"/>
        <w:spacing w:before="0" w:after="60" w:line="271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Published financial trend analysis in 4 university research competitions; developed critical analysis and strategic communication skills.</w:t>
      </w:r>
    </w:p>
    <w:p>
      <w:pPr>
        <w:keepNext/>
        <w:spacing w:before="140" w:after="12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SKILLS &amp; TOOLS</w:t>
      </w:r>
    </w:p>
    <w:tbl>
      <w:tblPr>
        <w:tblW w:type="dxa" w:w="936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45"/>
        <w:gridCol w:w="4945"/>
      </w:tblGrid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143D59"/>
                <w:sz w:val="17"/>
                <w:u w:val="none"/>
              </w:rPr>
              <w:t>Finance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24272A"/>
                <w:sz w:val="17"/>
                <w:u w:val="none"/>
              </w:rPr>
              <w:t>FP&amp;A, Budgeting &amp; Forecasting, Variance Analysis, Multi-entity Consolidation, Management Reporting, KPI Design, Internal Audit, AR/AP, Working Capital, ACCA F3/F6 (self-studied)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143D59"/>
                <w:sz w:val="17"/>
                <w:u w:val="none"/>
              </w:rPr>
              <w:t>Technical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spacing w:line="264" w:lineRule="auto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24272A"/>
                <w:sz w:val="17"/>
                <w:u w:val="none"/>
              </w:rPr>
              <w:t>Python (pandas/openpyxl workflow automation), SQL, Power BI, DAX, Power Query, Excel (advanced), CubeValue, Agentic AI workflow design, AI-assisted automation, ERP S21, SAP Concur, Cargowise, GitHub / VS Code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143D59"/>
                <w:sz w:val="17"/>
                <w:u w:val="none"/>
              </w:rPr>
              <w:t>Languages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spacing w:line="264" w:lineRule="auto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24272A"/>
                <w:sz w:val="17"/>
                <w:u w:val="none"/>
              </w:rPr>
              <w:t>Vietnamese, Native | English, Professional (IELTS 6.5)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143D59"/>
                <w:sz w:val="17"/>
                <w:u w:val="none"/>
              </w:rPr>
              <w:t>Soft Skills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0" w:line="264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24272A"/>
                <w:sz w:val="17"/>
                <w:u w:val="none"/>
              </w:rPr>
              <w:t>Stakeholder management, Cross-functional collaboration, Structured problem-solving, Data storytelling, Adaptability in MNC environments</w:t>
            </w:r>
          </w:p>
        </w:tc>
      </w:tr>
    </w:tbl>
    <w:p>
      <w:pPr>
        <w:keepNext/>
        <w:spacing w:before="140" w:after="120" w:line="240" w:lineRule="auto"/>
        <w:jc w:val="left"/>
        <w:pBdr>
          <w:bottom w:val="single" w:sz="6" w:space="4" w:color="D6DEE6"/>
        </w:pBdr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PORTFOLIO BRIEF</w:t>
      </w:r>
    </w:p>
    <w:p>
      <w:pPr>
        <w:pStyle w:val="ListBullet"/>
        <w:spacing w:after="60" w:line="271" w:lineRule="auto"/>
        <w:ind w:left="518" w:hanging="259"/>
        <w:jc w:val="left"/>
      </w:pPr>
      <w:hyperlink r:id="rId13">
        <w:r>
          <w:rPr>
            <w:rFonts w:ascii="Arial" w:hAnsi="Arial" w:eastAsia="Arial"/>
            <w:color w:val="1F5F8B"/>
            <w:sz w:val="18"/>
            <w:szCs w:val="18"/>
            <w:b/>
            <w:u w:val="none"/>
          </w:rPr>
          <w:t>Portfolio</w:t>
        </w:r>
      </w:hyperlink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: public-safe FP&amp;A/analytics showcase with Power BI products, Python automation samples, sanitized decision cases, and model QA notes.</w:t>
      </w:r>
    </w:p>
    <w:p>
      <w:pPr>
        <w:pStyle w:val="ListBullet"/>
        <w:spacing w:after="60" w:line="271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Curated 20-project BI portfolio: Monthly FP&amp;A Performance Pack, Driver-Based Forecasting, executive decision cases, Python monthly reporting/KPI distribution, plus planned briefs for regional FP&amp;A, treasury, SaaS, payments, risk, governance, and board reporting.</w:t>
      </w:r>
    </w:p>
    <w:p>
      <w:pPr>
        <w:keepNext/>
        <w:spacing w:before="140" w:after="12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ACTIVITIES</w:t>
      </w:r>
    </w:p>
    <w:p>
      <w:pPr>
        <w:pStyle w:val="ListBullet"/>
        <w:keepNext w:val="0"/>
        <w:spacing w:before="0" w:after="60" w:line="271" w:lineRule="auto"/>
        <w:ind w:left="518" w:hanging="259"/>
        <w:jc w:val="left"/>
      </w:pPr>
      <w:hyperlink r:id="rId17">
        <w:r>
          <w:rPr>
            <w:rFonts w:ascii="Arial" w:hAnsi="Arial"/>
            <w:sz w:val="18"/>
            <w:color w:val="1F5F8B"/>
            <w:u w:val="none"/>
          </w:rPr>
          <w:t>Agentic AI Build Week 2026 - GenAI Fund</w:t>
        </w:r>
      </w:hyperlink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 xml:space="preserve"> | Builder, upcoming Jul 2026: joining a 5-day on-site buildathon to prototype an agentic AI solution from released enterprise problem statements.</w:t>
      </w:r>
    </w:p>
    <w:p>
      <w:pPr>
        <w:pStyle w:val="ListBullet"/>
        <w:keepNext w:val="0"/>
        <w:spacing w:before="0" w:after="60" w:line="271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HR Member, Students' Finance Research Club - UEH (2021-2023): organized workshops and team-building events for 80-200 attendees; built leadership and project coordination experience.</w:t>
      </w:r>
    </w:p>
    <w:p/>
    <w:p/>
    <w:p/>
    <w:sectPr w:rsidR="00FC693F" w:rsidRPr="0006063C" w:rsidSect="00034616">
      <w:pgSz w:w="11906" w:h="16838"/>
      <w:pgMar w:top="691" w:right="1008" w:bottom="691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Arial" w:hAnsi="Arial"/>
      <w:color w:val="242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50" w:lineRule="auto"/>
      <w:ind w:left="605" w:hanging="259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4902339411" TargetMode="External"/><Relationship Id="rId10" Type="http://schemas.openxmlformats.org/officeDocument/2006/relationships/hyperlink" Target="mailto:truongtu293@gmail.com" TargetMode="External"/><Relationship Id="rId11" Type="http://schemas.openxmlformats.org/officeDocument/2006/relationships/hyperlink" Target="https://www.linkedin.com/in/truongtu293/" TargetMode="External"/><Relationship Id="rId12" Type="http://schemas.openxmlformats.org/officeDocument/2006/relationships/hyperlink" Target="https://github.com/Tudzai" TargetMode="External"/><Relationship Id="rId13" Type="http://schemas.openxmlformats.org/officeDocument/2006/relationships/hyperlink" Target="https://tudzai.github.io/Portfolio/" TargetMode="External"/><Relationship Id="rId14" Type="http://schemas.openxmlformats.org/officeDocument/2006/relationships/hyperlink" Target="https://vn.linkedin.com/company/bee-logistics-corporation" TargetMode="External"/><Relationship Id="rId15" Type="http://schemas.openxmlformats.org/officeDocument/2006/relationships/hyperlink" Target="https://www.linkedin.com/company/dhl-global-forwarding" TargetMode="External"/><Relationship Id="rId16" Type="http://schemas.openxmlformats.org/officeDocument/2006/relationships/hyperlink" Target="https://www.ueh.edu.vn/en/" TargetMode="External"/><Relationship Id="rId17" Type="http://schemas.openxmlformats.org/officeDocument/2006/relationships/hyperlink" Target="https://agenticaibuildweek.genaifund.ai/#h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Dinh Anh Tu - CV</dc:title>
  <dc:subject>FP&amp;A Analyst CV</dc:subject>
  <dc:creator>Truong Dinh Anh Tu</dc:creator>
  <cp:keywords>FP&amp;A, finance analytics, Power BI, Python, Agentic AI,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