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0"/>
        <w:jc w:val="center"/>
      </w:pPr>
      <w:r>
        <w:rPr>
          <w:rFonts w:ascii="Arial" w:cs="Arial" w:eastAsia="Arial" w:hAnsi="Arial"/>
          <w:b/>
          <w:bCs/>
          <w:color w:val="1E3A8A"/>
          <w:sz w:val="72"/>
          <w:szCs w:val="72"/>
        </w:rPr>
        <w:t xml:space="preserve">Motion-AI</w:t>
      </w:r>
    </w:p>
    <w:p>
      <w:pPr>
        <w:spacing w:after="200"/>
        <w:jc w:val="center"/>
      </w:pPr>
      <w:r>
        <w:rPr>
          <w:rFonts w:ascii="Arial" w:cs="Arial" w:eastAsia="Arial" w:hAnsi="Arial"/>
          <w:color w:val="1F2937"/>
          <w:sz w:val="32"/>
          <w:szCs w:val="32"/>
        </w:rPr>
        <w:t xml:space="preserve">Clinical Gait Pathology Detection from Quad-IMU Wearables</w:t>
      </w:r>
    </w:p>
    <w:p>
      <w:pPr>
        <w:spacing w:after="600"/>
        <w:jc w:val="center"/>
      </w:pPr>
      <w:r>
        <w:rPr>
          <w:rFonts w:ascii="Arial" w:cs="Arial" w:eastAsia="Arial" w:hAnsi="Arial"/>
          <w:i/>
          <w:iCs/>
          <w:color w:val="4B5563"/>
          <w:sz w:val="26"/>
          <w:szCs w:val="26"/>
        </w:rPr>
        <w:t xml:space="preserve">Technical Specification &amp; System Documentation</w:t>
      </w:r>
    </w:p>
    <w:p>
      <w:pPr>
        <w:spacing w:after="200" w:before="1600"/>
        <w:jc w:val="center"/>
      </w:pPr>
      <w:r>
        <w:rPr>
          <w:rFonts w:ascii="Arial" w:cs="Arial" w:eastAsia="Arial" w:hAnsi="Arial"/>
          <w:color w:val="4B5563"/>
          <w:sz w:val="22"/>
          <w:szCs w:val="22"/>
        </w:rPr>
        <w:t xml:space="preserve">Version 2.0</w:t>
      </w:r>
    </w:p>
    <w:p>
      <w:pPr>
        <w:spacing w:after="200"/>
        <w:jc w:val="center"/>
      </w:pPr>
      <w:r>
        <w:rPr>
          <w:rFonts w:ascii="Arial" w:cs="Arial" w:eastAsia="Arial" w:hAnsi="Arial"/>
          <w:color w:val="4B5563"/>
          <w:sz w:val="22"/>
          <w:szCs w:val="22"/>
        </w:rPr>
        <w:t xml:space="preserve">Hybrid CNN-BiLSTM screener + 6-class differential</w:t>
      </w:r>
    </w:p>
    <w:p>
      <w:pPr>
        <w:jc w:val="center"/>
      </w:pPr>
      <w:r>
        <w:rPr>
          <w:rFonts w:ascii="Arial" w:cs="Arial" w:eastAsia="Arial" w:hAnsi="Arial"/>
          <w:color w:val="4B5563"/>
          <w:sz w:val="22"/>
          <w:szCs w:val="22"/>
        </w:rPr>
        <w:t xml:space="preserve">with digital twin, gradient saliency, cohort retrieval, and time-is-brain accounting</w:t>
      </w:r>
    </w:p>
    <w:p>
      <w:pPr>
        <w:pStyle w:val="Heading1"/>
        <w:pageBreakBefore/>
        <w:spacing w:after="200" w:before="480"/>
      </w:pPr>
      <w:r>
        <w:rPr>
          <w:rFonts w:ascii="Arial" w:cs="Arial" w:eastAsia="Arial" w:hAnsi="Arial"/>
          <w:b/>
          <w:bCs/>
          <w:color w:val="1E3A8A"/>
          <w:sz w:val="36"/>
          <w:szCs w:val="36"/>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pPr>
        <w:pStyle w:val="Heading1"/>
        <w:pageBreakBefore/>
        <w:spacing w:after="200" w:before="480"/>
      </w:pPr>
      <w:r>
        <w:rPr>
          <w:rFonts w:ascii="Arial" w:cs="Arial" w:eastAsia="Arial" w:hAnsi="Arial"/>
          <w:b/>
          <w:bCs/>
          <w:color w:val="1E3A8A"/>
          <w:sz w:val="36"/>
          <w:szCs w:val="36"/>
        </w:rPr>
        <w:t xml:space="preserve">1. Executive Summary</w:t>
      </w:r>
    </w:p>
    <w:p>
      <w:pPr>
        <w:spacing w:after="60" w:before="60" w:line="300"/>
        <w:jc w:val="left"/>
      </w:pPr>
      <w:r>
        <w:rPr>
          <w:rFonts w:ascii="Arial" w:cs="Arial" w:eastAsia="Arial" w:hAnsi="Arial"/>
          <w:b w:val="false"/>
          <w:bCs w:val="false"/>
          <w:i w:val="false"/>
          <w:iCs w:val="false"/>
          <w:color w:val="111827"/>
          <w:sz w:val="22"/>
          <w:szCs w:val="22"/>
        </w:rPr>
        <w:t xml:space="preserve">Motion-AI is an end-to-end machine-learning system that continuously screens human gait for neurological pathology from a minimal four-sensor inertial-measurement-unit (IMU) wearable kit: one band on each wrist and each ankle. A hybrid one-dimensional convolutional + bidirectional LSTM neural network ingests a rolling 1.5-second window of 3-D limb kinematics, transforms it into 24 clinical biomarker channels, and produces two outputs simultaneously: a binary "P(abnormal gait)" screening score and a six-way differential probability across the major gait pathologies (left/right hemiparesis, spastic, parkinsonian, cerebellar ataxia, and healthy).</w:t>
      </w:r>
    </w:p>
    <w:p>
      <w:pPr>
        <w:spacing w:after="60" w:before="60" w:line="300"/>
        <w:jc w:val="left"/>
      </w:pPr>
      <w:r>
        <w:rPr>
          <w:rFonts w:ascii="Arial" w:cs="Arial" w:eastAsia="Arial" w:hAnsi="Arial"/>
          <w:b w:val="false"/>
          <w:bCs w:val="false"/>
          <w:i w:val="false"/>
          <w:iCs w:val="false"/>
          <w:color w:val="111827"/>
          <w:sz w:val="22"/>
          <w:szCs w:val="22"/>
        </w:rPr>
        <w:t xml:space="preserve">Trained on a physics-informed synthetic corpus of 7,200 gait windows, the system achieves 99.5 % held-out binary accuracy (ROC-AUC 0.9999) and 95 % multi-class accuracy, with sub-300-millisecond median detection latency from pathology onset to alert. A cinematic 2-D sagittal-projection visualizer (rendered as a looping animated GIF) provides a real-time view of the patient walking side-by-side with a "healthy digital twin" — a counterfactual simulation of the same subject without the pathology — making the deficit immediately visible to clinicians and lay observers.</w:t>
      </w:r>
    </w:p>
    <w:p>
      <w:pPr>
        <w:spacing w:after="60" w:before="60" w:line="300"/>
        <w:jc w:val="left"/>
      </w:pPr>
      <w:r>
        <w:rPr>
          <w:rFonts w:ascii="Arial" w:cs="Arial" w:eastAsia="Arial" w:hAnsi="Arial"/>
          <w:b w:val="false"/>
          <w:bCs w:val="false"/>
          <w:i w:val="false"/>
          <w:iCs w:val="false"/>
          <w:color w:val="111827"/>
          <w:sz w:val="22"/>
          <w:szCs w:val="22"/>
        </w:rPr>
        <w:t xml:space="preserve">On top of the raw model output, Motion-AI computes validated clinical metrics (Robinson Symmetry Index, cadence, walking speed, range-of-motion, foot clearance), uses gradient saliency to attribute alerts to specific limbs, retrieves the five most similar prior cases via latent-space k-nearest-neighbour search, and translates detection latency into "neurons saved" using the time-is-brain coefficient from Saver (Stroke 2006). The web dashboard is a Streamlit application with five tabs: Diagnosis, Biomarkers, Clinical Scenarios (300 procedurally generated pedestrians), Test the AI (sandbox + sweep + benchmark), and Architecture.</w:t>
      </w:r>
    </w:p>
    <w:p>
      <w:pPr>
        <w:pStyle w:val="Heading1"/>
        <w:pageBreakBefore/>
        <w:spacing w:after="200" w:before="480"/>
      </w:pPr>
      <w:r>
        <w:rPr>
          <w:rFonts w:ascii="Arial" w:cs="Arial" w:eastAsia="Arial" w:hAnsi="Arial"/>
          <w:b/>
          <w:bCs/>
          <w:color w:val="1E3A8A"/>
          <w:sz w:val="36"/>
          <w:szCs w:val="36"/>
        </w:rPr>
        <w:t xml:space="preserve">2. Project Vision &amp; Clinical Motivation</w:t>
      </w:r>
    </w:p>
    <w:p>
      <w:pPr>
        <w:pStyle w:val="Heading2"/>
        <w:spacing w:after="140" w:before="320"/>
      </w:pPr>
      <w:r>
        <w:rPr>
          <w:rFonts w:ascii="Arial" w:cs="Arial" w:eastAsia="Arial" w:hAnsi="Arial"/>
          <w:b/>
          <w:bCs/>
          <w:color w:val="1E3A8A"/>
          <w:sz w:val="28"/>
          <w:szCs w:val="28"/>
        </w:rPr>
        <w:t xml:space="preserve">2.1 The clinical problem</w:t>
      </w:r>
    </w:p>
    <w:p>
      <w:pPr>
        <w:spacing w:after="60" w:before="60" w:line="300"/>
        <w:jc w:val="left"/>
      </w:pPr>
      <w:r>
        <w:rPr>
          <w:rFonts w:ascii="Arial" w:cs="Arial" w:eastAsia="Arial" w:hAnsi="Arial"/>
          <w:b w:val="false"/>
          <w:bCs w:val="false"/>
          <w:i w:val="false"/>
          <w:iCs w:val="false"/>
          <w:color w:val="111827"/>
          <w:sz w:val="22"/>
          <w:szCs w:val="22"/>
        </w:rPr>
        <w:t xml:space="preserve">Acute ischemic stroke kills approximately 1.9 million neurons per minute of untreated cerebral hypoperfusion (Saver, 2006). Time from symptom onset to thrombolysis or thrombectomy is the single most powerful determinant of long-term functional outcome — every 15-minute reduction in door-to-needle time is associated with a measurable reduction in mortality and disability. Yet the median pre-hospital delay in witnessed stroke remains over 30 minutes, largely because bystanders and patients themselves fail to recognise subtle early motor signs (the classic FAST signs — Face droop, Arm weakness, Speech difficulty, Time — only catch obvious presentations).</w:t>
      </w:r>
    </w:p>
    <w:p>
      <w:pPr>
        <w:spacing w:after="60" w:before="60" w:line="300"/>
        <w:jc w:val="left"/>
      </w:pPr>
      <w:r>
        <w:rPr>
          <w:rFonts w:ascii="Arial" w:cs="Arial" w:eastAsia="Arial" w:hAnsi="Arial"/>
          <w:b w:val="false"/>
          <w:bCs w:val="false"/>
          <w:i w:val="false"/>
          <w:iCs w:val="false"/>
          <w:color w:val="111827"/>
          <w:sz w:val="22"/>
          <w:szCs w:val="22"/>
        </w:rPr>
        <w:t xml:space="preserve">Beyond acute stroke, chronic neurological gait disorders — hemiparesis from prior stroke, Parkinsonian bradykinesia, cerebellar ataxia, post-injury spasticity — are massively underdiagnosed in community-dwelling older adults. They progress slowly, the patient adapts unconsciously, and the deficit is only flagged during an in-clinic exam. By that point a fall has often already happened.</w:t>
      </w:r>
    </w:p>
    <w:p>
      <w:pPr>
        <w:pStyle w:val="Heading2"/>
        <w:spacing w:after="140" w:before="320"/>
      </w:pPr>
      <w:r>
        <w:rPr>
          <w:rFonts w:ascii="Arial" w:cs="Arial" w:eastAsia="Arial" w:hAnsi="Arial"/>
          <w:b/>
          <w:bCs/>
          <w:color w:val="1E3A8A"/>
          <w:sz w:val="28"/>
          <w:szCs w:val="28"/>
        </w:rPr>
        <w:t xml:space="preserve">2.2 What Motion-AI addresses</w:t>
      </w:r>
    </w:p>
    <w:p>
      <w:pPr>
        <w:spacing w:after="60" w:before="60" w:line="300"/>
        <w:jc w:val="left"/>
      </w:pPr>
      <w:r>
        <w:rPr>
          <w:rFonts w:ascii="Arial" w:cs="Arial" w:eastAsia="Arial" w:hAnsi="Arial"/>
          <w:b w:val="false"/>
          <w:bCs w:val="false"/>
          <w:i w:val="false"/>
          <w:iCs w:val="false"/>
          <w:color w:val="111827"/>
          <w:sz w:val="22"/>
          <w:szCs w:val="22"/>
        </w:rPr>
        <w:t xml:space="preserve">A continuously-worn, cheap, four-sensor wearable that streams 3-D limb kinematics to a small neural network can, in principle:</w:t>
      </w:r>
    </w:p>
    <w:p>
      <w:pPr>
        <w:pStyle w:val="ListParagraph"/>
        <w:numPr>
          <w:ilvl w:val="0"/>
          <w:numId w:val="2"/>
        </w:numPr>
        <w:spacing w:after="40" w:before="40" w:line="280"/>
      </w:pPr>
      <w:r>
        <w:rPr>
          <w:rFonts w:ascii="Arial" w:cs="Arial" w:eastAsia="Arial" w:hAnsi="Arial"/>
          <w:color w:val="111827"/>
          <w:sz w:val="22"/>
          <w:szCs w:val="22"/>
        </w:rPr>
        <w:t xml:space="preserve">Trigger an immediate alert (within seconds) when a sudden gait change suggests an evolving stroke, shaving minutes off the bystander-recognition delay.</w:t>
      </w:r>
    </w:p>
    <w:p>
      <w:pPr>
        <w:pStyle w:val="ListParagraph"/>
        <w:numPr>
          <w:ilvl w:val="0"/>
          <w:numId w:val="2"/>
        </w:numPr>
        <w:spacing w:after="40" w:before="40" w:line="280"/>
      </w:pPr>
      <w:r>
        <w:rPr>
          <w:rFonts w:ascii="Arial" w:cs="Arial" w:eastAsia="Arial" w:hAnsi="Arial"/>
          <w:color w:val="111827"/>
          <w:sz w:val="22"/>
          <w:szCs w:val="22"/>
        </w:rPr>
        <w:t xml:space="preserve">Quantify chronic gait asymmetry against validated normative bands, providing a tracked clinical metric for patients with diagnosed neurological disease.</w:t>
      </w:r>
    </w:p>
    <w:p>
      <w:pPr>
        <w:pStyle w:val="ListParagraph"/>
        <w:numPr>
          <w:ilvl w:val="0"/>
          <w:numId w:val="2"/>
        </w:numPr>
        <w:spacing w:after="40" w:before="40" w:line="280"/>
      </w:pPr>
      <w:r>
        <w:rPr>
          <w:rFonts w:ascii="Arial" w:cs="Arial" w:eastAsia="Arial" w:hAnsi="Arial"/>
          <w:color w:val="111827"/>
          <w:sz w:val="22"/>
          <w:szCs w:val="22"/>
        </w:rPr>
        <w:t xml:space="preserve">Differentiate among gait pathologies (e.g. hemi-L vs Parkinsonian) so clinicians get a triage suggestion, not just a binary alarm.</w:t>
      </w:r>
    </w:p>
    <w:p>
      <w:pPr>
        <w:pStyle w:val="ListParagraph"/>
        <w:numPr>
          <w:ilvl w:val="0"/>
          <w:numId w:val="2"/>
        </w:numPr>
        <w:spacing w:after="40" w:before="40" w:line="280"/>
      </w:pPr>
      <w:r>
        <w:rPr>
          <w:rFonts w:ascii="Arial" w:cs="Arial" w:eastAsia="Arial" w:hAnsi="Arial"/>
          <w:color w:val="111827"/>
          <w:sz w:val="22"/>
          <w:szCs w:val="22"/>
        </w:rPr>
        <w:t xml:space="preserve">Provide auditable, case-based-reasoning evidence for every alert via latent-space cohort retrieval, supporting clinician trust.</w:t>
      </w:r>
    </w:p>
    <w:p>
      <w:pPr>
        <w:pStyle w:val="Heading1"/>
        <w:pageBreakBefore/>
        <w:spacing w:after="200" w:before="480"/>
      </w:pPr>
      <w:r>
        <w:rPr>
          <w:rFonts w:ascii="Arial" w:cs="Arial" w:eastAsia="Arial" w:hAnsi="Arial"/>
          <w:b/>
          <w:bCs/>
          <w:color w:val="1E3A8A"/>
          <w:sz w:val="36"/>
          <w:szCs w:val="36"/>
        </w:rPr>
        <w:t xml:space="preserve">3. Clinical Background — Gait Pathologies Modelled</w:t>
      </w:r>
    </w:p>
    <w:p>
      <w:pPr>
        <w:spacing w:after="60" w:before="60" w:line="300"/>
        <w:jc w:val="left"/>
      </w:pPr>
      <w:r>
        <w:rPr>
          <w:rFonts w:ascii="Arial" w:cs="Arial" w:eastAsia="Arial" w:hAnsi="Arial"/>
          <w:b w:val="false"/>
          <w:bCs w:val="false"/>
          <w:i w:val="false"/>
          <w:iCs w:val="false"/>
          <w:color w:val="111827"/>
          <w:sz w:val="22"/>
          <w:szCs w:val="22"/>
        </w:rPr>
        <w:t xml:space="preserve">The system recognises six gait classes, each with literature-informed kinematic signatures embedded in both the training data simulator and the visualization renderer.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CBD5E1" w:sz="4"/>
              <w:left w:val="single" w:color="CBD5E1" w:sz="4"/>
              <w:bottom w:val="single" w:color="CBD5E1" w:sz="4"/>
              <w:right w:val="single" w:color="CBD5E1" w:sz="4"/>
            </w:tcBorders>
            <w:shd w:fill="D5E8F0" w:val="clear"/>
            <w:tcMar>
              <w:top w:type="dxa" w:w="80"/>
              <w:left w:type="dxa" w:w="120"/>
              <w:bottom w:type="dxa" w:w="80"/>
              <w:right w:type="dxa" w:w="120"/>
            </w:tcMar>
          </w:tcPr>
          <w:p>
            <w:r>
              <w:rPr>
                <w:rFonts w:ascii="Arial" w:cs="Arial" w:eastAsia="Arial" w:hAnsi="Arial"/>
                <w:b/>
                <w:bCs/>
                <w:color w:val="0F172A"/>
                <w:sz w:val="20"/>
                <w:szCs w:val="20"/>
              </w:rPr>
              <w:t xml:space="preserve">Profile</w:t>
            </w:r>
          </w:p>
        </w:tc>
        <w:tc>
          <w:tcPr>
            <w:tcW w:type="dxa" w:w="3000"/>
            <w:tcBorders>
              <w:top w:val="single" w:color="CBD5E1" w:sz="4"/>
              <w:left w:val="single" w:color="CBD5E1" w:sz="4"/>
              <w:bottom w:val="single" w:color="CBD5E1" w:sz="4"/>
              <w:right w:val="single" w:color="CBD5E1" w:sz="4"/>
            </w:tcBorders>
            <w:shd w:fill="D5E8F0" w:val="clear"/>
            <w:tcMar>
              <w:top w:type="dxa" w:w="80"/>
              <w:left w:type="dxa" w:w="120"/>
              <w:bottom w:type="dxa" w:w="80"/>
              <w:right w:type="dxa" w:w="120"/>
            </w:tcMar>
          </w:tcPr>
          <w:p>
            <w:r>
              <w:rPr>
                <w:rFonts w:ascii="Arial" w:cs="Arial" w:eastAsia="Arial" w:hAnsi="Arial"/>
                <w:b/>
                <w:bCs/>
                <w:color w:val="0F172A"/>
                <w:sz w:val="20"/>
                <w:szCs w:val="20"/>
              </w:rPr>
              <w:t xml:space="preserve">Etiology</w:t>
            </w:r>
          </w:p>
        </w:tc>
        <w:tc>
          <w:tcPr>
            <w:tcW w:type="dxa" w:w="4560"/>
            <w:tcBorders>
              <w:top w:val="single" w:color="CBD5E1" w:sz="4"/>
              <w:left w:val="single" w:color="CBD5E1" w:sz="4"/>
              <w:bottom w:val="single" w:color="CBD5E1" w:sz="4"/>
              <w:right w:val="single" w:color="CBD5E1" w:sz="4"/>
            </w:tcBorders>
            <w:shd w:fill="D5E8F0" w:val="clear"/>
            <w:tcMar>
              <w:top w:type="dxa" w:w="80"/>
              <w:left w:type="dxa" w:w="120"/>
              <w:bottom w:type="dxa" w:w="80"/>
              <w:right w:type="dxa" w:w="120"/>
            </w:tcMar>
          </w:tcPr>
          <w:p>
            <w:r>
              <w:rPr>
                <w:rFonts w:ascii="Arial" w:cs="Arial" w:eastAsia="Arial" w:hAnsi="Arial"/>
                <w:b/>
                <w:bCs/>
                <w:color w:val="0F172A"/>
                <w:sz w:val="20"/>
                <w:szCs w:val="20"/>
              </w:rPr>
              <w:t xml:space="preserve">Kinematic signature</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Healthy</w:t>
            </w:r>
          </w:p>
        </w:tc>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Neurologically intact</w:t>
            </w:r>
          </w:p>
        </w:tc>
        <w:tc>
          <w:tcPr>
            <w:tcW w:type="dxa" w:w="4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Symmetric counter-rotating arm and leg swing, 1 Hz cadence, ~12 cm foot clearance per stride</w:t>
            </w:r>
          </w:p>
        </w:tc>
      </w:tr>
      <w:tr>
        <w:tc>
          <w:tcPr>
            <w:tcW w:type="dxa" w:w="1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Hemi-L (Hemiparesis Left)</w:t>
            </w:r>
          </w:p>
        </w:tc>
        <w:tc>
          <w:tcPr>
            <w:tcW w:type="dxa" w:w="3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Right-cortex stroke or lesion affecting left motor cortex</w:t>
            </w:r>
          </w:p>
        </w:tc>
        <w:tc>
          <w:tcPr>
            <w:tcW w:type="dxa" w:w="4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Reduced left arm swing (flexor synergy); left foot drop (reduced toe clearance); shorter left step length</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Hemi-R (Hemiparesis Right)</w:t>
            </w:r>
          </w:p>
        </w:tc>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Left-cortex stroke</w:t>
            </w:r>
          </w:p>
        </w:tc>
        <w:tc>
          <w:tcPr>
            <w:tcW w:type="dxa" w:w="4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Mirror image of Hemi-L on right side</w:t>
            </w:r>
          </w:p>
        </w:tc>
      </w:tr>
      <w:tr>
        <w:tc>
          <w:tcPr>
            <w:tcW w:type="dxa" w:w="1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Spastic</w:t>
            </w:r>
          </w:p>
        </w:tc>
        <w:tc>
          <w:tcPr>
            <w:tcW w:type="dxa" w:w="3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Upper-motor-neuron lesion, cerebral palsy, multiple sclerosis</w:t>
            </w:r>
          </w:p>
        </w:tc>
        <w:tc>
          <w:tcPr>
            <w:tcW w:type="dxa" w:w="4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Circumduction (hip swings affected leg outward in an arc); reduced range on affected side; arm tucked toward midline</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Parkinsonian</w:t>
            </w:r>
          </w:p>
        </w:tc>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Parkinson disease, MSA, vascular parkinsonism</w:t>
            </w:r>
          </w:p>
        </w:tc>
        <w:tc>
          <w:tcPr>
            <w:tcW w:type="dxa" w:w="4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Bilateral bradykinesia (globally reduced amplitudes); shuffling gait (foot clearance ~3-4 cm); 4-6 Hz pill-rolling resting tremor at wrists</w:t>
            </w:r>
          </w:p>
        </w:tc>
      </w:tr>
      <w:tr>
        <w:tc>
          <w:tcPr>
            <w:tcW w:type="dxa" w:w="1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Cerebellar ataxic</w:t>
            </w:r>
          </w:p>
        </w:tc>
        <w:tc>
          <w:tcPr>
            <w:tcW w:type="dxa" w:w="3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Cerebellar stroke, alcoholic cerebellar degeneration, MSA-C</w:t>
            </w:r>
          </w:p>
        </w:tc>
        <w:tc>
          <w:tcPr>
            <w:tcW w:type="dxa" w:w="4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High lateral variability stride-to-stride; irregular phase / timing; wide-based gait</w:t>
            </w:r>
          </w:p>
        </w:tc>
      </w:tr>
    </w:tbl>
    <w:p>
      <w:pPr>
        <w:pStyle w:val="Heading1"/>
        <w:pageBreakBefore/>
        <w:spacing w:after="200" w:before="480"/>
      </w:pPr>
      <w:r>
        <w:rPr>
          <w:rFonts w:ascii="Arial" w:cs="Arial" w:eastAsia="Arial" w:hAnsi="Arial"/>
          <w:b/>
          <w:bCs/>
          <w:color w:val="1E3A8A"/>
          <w:sz w:val="36"/>
          <w:szCs w:val="36"/>
        </w:rPr>
        <w:t xml:space="preserve">4. System Architecture Overview</w:t>
      </w:r>
    </w:p>
    <w:p>
      <w:pPr>
        <w:spacing w:after="60" w:before="60" w:line="300"/>
        <w:jc w:val="left"/>
      </w:pPr>
      <w:r>
        <w:rPr>
          <w:rFonts w:ascii="Arial" w:cs="Arial" w:eastAsia="Arial" w:hAnsi="Arial"/>
          <w:b w:val="false"/>
          <w:bCs w:val="false"/>
          <w:i w:val="false"/>
          <w:iCs w:val="false"/>
          <w:color w:val="111827"/>
          <w:sz w:val="22"/>
          <w:szCs w:val="22"/>
        </w:rPr>
        <w:t xml:space="preserve">Motion-AI is structured as a five-layer pipeline. Each layer is testable in isolation and replaceable independently.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rPr>
          <w:tblHeader/>
        </w:trPr>
        <w:tc>
          <w:tcPr>
            <w:tcW w:type="dxa" w:w="1800"/>
            <w:tcBorders>
              <w:top w:val="single" w:color="CBD5E1" w:sz="4"/>
              <w:left w:val="single" w:color="CBD5E1" w:sz="4"/>
              <w:bottom w:val="single" w:color="CBD5E1" w:sz="4"/>
              <w:right w:val="single" w:color="CBD5E1" w:sz="4"/>
            </w:tcBorders>
            <w:shd w:fill="D5E8F0" w:val="clear"/>
            <w:tcMar>
              <w:top w:type="dxa" w:w="80"/>
              <w:left w:type="dxa" w:w="120"/>
              <w:bottom w:type="dxa" w:w="80"/>
              <w:right w:type="dxa" w:w="120"/>
            </w:tcMar>
          </w:tcPr>
          <w:p>
            <w:r>
              <w:rPr>
                <w:rFonts w:ascii="Arial" w:cs="Arial" w:eastAsia="Arial" w:hAnsi="Arial"/>
                <w:b/>
                <w:bCs/>
                <w:color w:val="0F172A"/>
                <w:sz w:val="20"/>
                <w:szCs w:val="20"/>
              </w:rPr>
              <w:t xml:space="preserve">Layer</w:t>
            </w:r>
          </w:p>
        </w:tc>
        <w:tc>
          <w:tcPr>
            <w:tcW w:type="dxa" w:w="4560"/>
            <w:tcBorders>
              <w:top w:val="single" w:color="CBD5E1" w:sz="4"/>
              <w:left w:val="single" w:color="CBD5E1" w:sz="4"/>
              <w:bottom w:val="single" w:color="CBD5E1" w:sz="4"/>
              <w:right w:val="single" w:color="CBD5E1" w:sz="4"/>
            </w:tcBorders>
            <w:shd w:fill="D5E8F0" w:val="clear"/>
            <w:tcMar>
              <w:top w:type="dxa" w:w="80"/>
              <w:left w:type="dxa" w:w="120"/>
              <w:bottom w:type="dxa" w:w="80"/>
              <w:right w:type="dxa" w:w="120"/>
            </w:tcMar>
          </w:tcPr>
          <w:p>
            <w:r>
              <w:rPr>
                <w:rFonts w:ascii="Arial" w:cs="Arial" w:eastAsia="Arial" w:hAnsi="Arial"/>
                <w:b/>
                <w:bCs/>
                <w:color w:val="0F172A"/>
                <w:sz w:val="20"/>
                <w:szCs w:val="20"/>
              </w:rPr>
              <w:t xml:space="preserve">Purpose</w:t>
            </w:r>
          </w:p>
        </w:tc>
        <w:tc>
          <w:tcPr>
            <w:tcW w:type="dxa" w:w="3000"/>
            <w:tcBorders>
              <w:top w:val="single" w:color="CBD5E1" w:sz="4"/>
              <w:left w:val="single" w:color="CBD5E1" w:sz="4"/>
              <w:bottom w:val="single" w:color="CBD5E1" w:sz="4"/>
              <w:right w:val="single" w:color="CBD5E1" w:sz="4"/>
            </w:tcBorders>
            <w:shd w:fill="D5E8F0" w:val="clear"/>
            <w:tcMar>
              <w:top w:type="dxa" w:w="80"/>
              <w:left w:type="dxa" w:w="120"/>
              <w:bottom w:type="dxa" w:w="80"/>
              <w:right w:type="dxa" w:w="120"/>
            </w:tcMar>
          </w:tcPr>
          <w:p>
            <w:r>
              <w:rPr>
                <w:rFonts w:ascii="Arial" w:cs="Arial" w:eastAsia="Arial" w:hAnsi="Arial"/>
                <w:b/>
                <w:bCs/>
                <w:color w:val="0F172A"/>
                <w:sz w:val="20"/>
                <w:szCs w:val="20"/>
              </w:rPr>
              <w:t xml:space="preserve">Implementation file</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1. Sensing</w:t>
            </w:r>
          </w:p>
        </w:tc>
        <w:tc>
          <w:tcPr>
            <w:tcW w:type="dxa" w:w="4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Stream raw 3-D positions from 4 IMU bands at ~13 Hz</w:t>
            </w:r>
          </w:p>
        </w:tc>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(hardware abstraction; simulated by gait_sim.py for development)</w:t>
            </w:r>
          </w:p>
        </w:tc>
      </w:tr>
      <w:tr>
        <w:tc>
          <w:tcPr>
            <w:tcW w:type="dxa" w:w="1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2. Feature engineering</w:t>
            </w:r>
          </w:p>
        </w:tc>
        <w:tc>
          <w:tcPr>
            <w:tcW w:type="dxa" w:w="4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Expand 12-channel raw stream into 24 clinical biomarker channels per 20-timestep (1.5 s) window</w:t>
            </w:r>
          </w:p>
        </w:tc>
        <w:tc>
          <w:tcPr>
            <w:tcW w:type="dxa" w:w="3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gait_sim.build_features()</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3. Standardization</w:t>
            </w:r>
          </w:p>
        </w:tc>
        <w:tc>
          <w:tcPr>
            <w:tcW w:type="dxa" w:w="4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Apply training-set StandardScaler so every channel is z-scored</w:t>
            </w:r>
          </w:p>
        </w:tc>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scaler_v2.save (sklearn.preprocessing.StandardScaler)</w:t>
            </w:r>
          </w:p>
        </w:tc>
      </w:tr>
      <w:tr>
        <w:tc>
          <w:tcPr>
            <w:tcW w:type="dxa" w:w="1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4. Inference</w:t>
            </w:r>
          </w:p>
        </w:tc>
        <w:tc>
          <w:tcPr>
            <w:tcW w:type="dxa" w:w="4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CNN-BiLSTM with two heads: binary screener + 6-way differential</w:t>
            </w:r>
          </w:p>
        </w:tc>
        <w:tc>
          <w:tcPr>
            <w:tcW w:type="dxa" w:w="3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stroke_model_v2.h5 (binary); motion_multiclass.h5 (multiclass)</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5. Decision &amp; UI</w:t>
            </w:r>
          </w:p>
        </w:tc>
        <w:tc>
          <w:tcPr>
            <w:tcW w:type="dxa" w:w="4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Sliding window inference, debounced alert, clinical metrics, saliency, twin, cohort retrieval, GIF render</w:t>
            </w:r>
          </w:p>
        </w:tc>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app2.py + scenarios.py</w:t>
            </w:r>
          </w:p>
        </w:tc>
      </w:tr>
    </w:tbl>
    <w:p>
      <w:pPr>
        <w:pStyle w:val="Heading2"/>
        <w:spacing w:after="140" w:before="320"/>
      </w:pPr>
      <w:r>
        <w:rPr>
          <w:rFonts w:ascii="Arial" w:cs="Arial" w:eastAsia="Arial" w:hAnsi="Arial"/>
          <w:b/>
          <w:bCs/>
          <w:color w:val="1E3A8A"/>
          <w:sz w:val="28"/>
          <w:szCs w:val="28"/>
        </w:rPr>
        <w:t xml:space="preserve">4.1 End-to-end data flow</w:t>
      </w:r>
    </w:p>
    <w:p>
      <w:pPr>
        <w:shd w:fill="F1F5F9" w:val="clear"/>
        <w:spacing w:after="80" w:before="80" w:line="260"/>
        <w:ind w:left="200" w:right="200"/>
      </w:pPr>
      <w:r>
        <w:rPr>
          <w:rFonts w:ascii="Courier New" w:cs="Courier New" w:eastAsia="Courier New" w:hAnsi="Courier New"/>
          <w:color w:val="0F172A"/>
          <w:sz w:val="18"/>
          <w:szCs w:val="18"/>
        </w:rPr>
        <w:t xml:space="preserve"> 4 IMUs (L-wrist, R-wrist, L-ankle, R-ankle)</w:t>
      </w:r>
    </w:p>
    <w:p>
      <w:pPr>
        <w:shd w:fill="F1F5F9" w:val="clear"/>
        <w:spacing w:after="80" w:before="80" w:line="260"/>
        <w:ind w:left="200" w:right="200"/>
      </w:pPr>
      <w:r>
        <w:rPr>
          <w:rFonts w:ascii="Courier New" w:cs="Courier New" w:eastAsia="Courier New" w:hAnsi="Courier New"/>
          <w:color w:val="0F172A"/>
          <w:sz w:val="18"/>
          <w:szCs w:val="18"/>
        </w:rPr>
        <w:t xml:space="preserve">   |   3-D positions @ ~13 Hz   -&gt;   (T, 12) raw</w:t>
      </w:r>
    </w:p>
    <w:p>
      <w:pPr>
        <w:shd w:fill="F1F5F9" w:val="clear"/>
        <w:spacing w:after="80" w:before="80" w:line="260"/>
        <w:ind w:left="200" w:right="200"/>
      </w:pPr>
      <w:r>
        <w:rPr>
          <w:rFonts w:ascii="Courier New" w:cs="Courier New" w:eastAsia="Courier New" w:hAnsi="Courier New"/>
          <w:color w:val="0F172A"/>
          <w:sz w:val="18"/>
          <w:szCs w:val="18"/>
        </w:rPr>
        <w:t xml:space="preserve">   v</w:t>
      </w:r>
    </w:p>
    <w:p>
      <w:pPr>
        <w:shd w:fill="F1F5F9" w:val="clear"/>
        <w:spacing w:after="80" w:before="80" w:line="260"/>
        <w:ind w:left="200" w:right="200"/>
      </w:pPr>
      <w:r>
        <w:rPr>
          <w:rFonts w:ascii="Courier New" w:cs="Courier New" w:eastAsia="Courier New" w:hAnsi="Courier New"/>
          <w:color w:val="0F172A"/>
          <w:sz w:val="18"/>
          <w:szCs w:val="18"/>
        </w:rPr>
        <w:t xml:space="preserve"> build_features  -&gt;  (T, 24) biomarkers</w:t>
      </w:r>
    </w:p>
    <w:p>
      <w:pPr>
        <w:shd w:fill="F1F5F9" w:val="clear"/>
        <w:spacing w:after="80" w:before="80" w:line="260"/>
        <w:ind w:left="200" w:right="200"/>
      </w:pPr>
      <w:r>
        <w:rPr>
          <w:rFonts w:ascii="Courier New" w:cs="Courier New" w:eastAsia="Courier New" w:hAnsi="Courier New"/>
          <w:color w:val="0F172A"/>
          <w:sz w:val="18"/>
          <w:szCs w:val="18"/>
        </w:rPr>
        <w:t xml:space="preserve">   |  raw XYZ  |  L-R drift  |  limb magnitudes  |  asymmetry indices</w:t>
      </w:r>
    </w:p>
    <w:p>
      <w:pPr>
        <w:shd w:fill="F1F5F9" w:val="clear"/>
        <w:spacing w:after="80" w:before="80" w:line="260"/>
        <w:ind w:left="200" w:right="200"/>
      </w:pPr>
      <w:r>
        <w:rPr>
          <w:rFonts w:ascii="Courier New" w:cs="Courier New" w:eastAsia="Courier New" w:hAnsi="Courier New"/>
          <w:color w:val="0F172A"/>
          <w:sz w:val="18"/>
          <w:szCs w:val="18"/>
        </w:rPr>
        <w:t xml:space="preserve">   v</w:t>
      </w:r>
    </w:p>
    <w:p>
      <w:pPr>
        <w:shd w:fill="F1F5F9" w:val="clear"/>
        <w:spacing w:after="80" w:before="80" w:line="260"/>
        <w:ind w:left="200" w:right="200"/>
      </w:pPr>
      <w:r>
        <w:rPr>
          <w:rFonts w:ascii="Courier New" w:cs="Courier New" w:eastAsia="Courier New" w:hAnsi="Courier New"/>
          <w:color w:val="0F172A"/>
          <w:sz w:val="18"/>
          <w:szCs w:val="18"/>
        </w:rPr>
        <w:t xml:space="preserve"> StandardScaler (fit on training set)</w:t>
      </w:r>
    </w:p>
    <w:p>
      <w:pPr>
        <w:shd w:fill="F1F5F9" w:val="clear"/>
        <w:spacing w:after="80" w:before="80" w:line="260"/>
        <w:ind w:left="200" w:right="200"/>
      </w:pPr>
      <w:r>
        <w:rPr>
          <w:rFonts w:ascii="Courier New" w:cs="Courier New" w:eastAsia="Courier New" w:hAnsi="Courier New"/>
          <w:color w:val="0F172A"/>
          <w:sz w:val="18"/>
          <w:szCs w:val="18"/>
        </w:rPr>
        <w:t xml:space="preserve">   v</w:t>
      </w:r>
    </w:p>
    <w:p>
      <w:pPr>
        <w:shd w:fill="F1F5F9" w:val="clear"/>
        <w:spacing w:after="80" w:before="80" w:line="260"/>
        <w:ind w:left="200" w:right="200"/>
      </w:pPr>
      <w:r>
        <w:rPr>
          <w:rFonts w:ascii="Courier New" w:cs="Courier New" w:eastAsia="Courier New" w:hAnsi="Courier New"/>
          <w:color w:val="0F172A"/>
          <w:sz w:val="18"/>
          <w:szCs w:val="18"/>
        </w:rPr>
        <w:t xml:space="preserve"> Conv1D(64) -&gt; BN -&gt; Conv1D(64) -&gt; MaxPool -&gt; Dropout</w:t>
      </w:r>
    </w:p>
    <w:p>
      <w:pPr>
        <w:shd w:fill="F1F5F9" w:val="clear"/>
        <w:spacing w:after="80" w:before="80" w:line="260"/>
        <w:ind w:left="200" w:right="200"/>
      </w:pPr>
      <w:r>
        <w:rPr>
          <w:rFonts w:ascii="Courier New" w:cs="Courier New" w:eastAsia="Courier New" w:hAnsi="Courier New"/>
          <w:color w:val="0F172A"/>
          <w:sz w:val="18"/>
          <w:szCs w:val="18"/>
        </w:rPr>
        <w:t xml:space="preserve"> Bidirectional LSTM(48) -&gt; Dropout -&gt; Dense(32, ReLU)</w:t>
      </w:r>
    </w:p>
    <w:p>
      <w:pPr>
        <w:shd w:fill="F1F5F9" w:val="clear"/>
        <w:spacing w:after="80" w:before="80" w:line="260"/>
        <w:ind w:left="200" w:right="200"/>
      </w:pPr>
      <w:r>
        <w:rPr>
          <w:rFonts w:ascii="Courier New" w:cs="Courier New" w:eastAsia="Courier New" w:hAnsi="Courier New"/>
          <w:color w:val="0F172A"/>
          <w:sz w:val="18"/>
          <w:szCs w:val="18"/>
        </w:rPr>
        <w:t xml:space="preserve">   |                                          |</w:t>
      </w:r>
    </w:p>
    <w:p>
      <w:pPr>
        <w:shd w:fill="F1F5F9" w:val="clear"/>
        <w:spacing w:after="80" w:before="80" w:line="260"/>
        <w:ind w:left="200" w:right="200"/>
      </w:pPr>
      <w:r>
        <w:rPr>
          <w:rFonts w:ascii="Courier New" w:cs="Courier New" w:eastAsia="Courier New" w:hAnsi="Courier New"/>
          <w:color w:val="0F172A"/>
          <w:sz w:val="18"/>
          <w:szCs w:val="18"/>
        </w:rPr>
        <w:t xml:space="preserve"> Dense(1, sigmoid)                  Dense(6, softmax)</w:t>
      </w:r>
    </w:p>
    <w:p>
      <w:pPr>
        <w:shd w:fill="F1F5F9" w:val="clear"/>
        <w:spacing w:after="80" w:before="80" w:line="260"/>
        <w:ind w:left="200" w:right="200"/>
      </w:pPr>
      <w:r>
        <w:rPr>
          <w:rFonts w:ascii="Courier New" w:cs="Courier New" w:eastAsia="Courier New" w:hAnsi="Courier New"/>
          <w:color w:val="0F172A"/>
          <w:sz w:val="18"/>
          <w:szCs w:val="18"/>
        </w:rPr>
        <w:t xml:space="preserve"> binary screener                    6-class differential</w:t>
      </w:r>
    </w:p>
    <w:p>
      <w:pPr>
        <w:shd w:fill="F1F5F9" w:val="clear"/>
        <w:spacing w:after="80" w:before="80" w:line="260"/>
        <w:ind w:left="200" w:right="200"/>
      </w:pPr>
      <w:r>
        <w:rPr>
          <w:rFonts w:ascii="Courier New" w:cs="Courier New" w:eastAsia="Courier New" w:hAnsi="Courier New"/>
          <w:color w:val="0F172A"/>
          <w:sz w:val="18"/>
          <w:szCs w:val="18"/>
        </w:rPr>
        <w:t xml:space="preserve">   |                                          |</w:t>
      </w:r>
    </w:p>
    <w:p>
      <w:pPr>
        <w:shd w:fill="F1F5F9" w:val="clear"/>
        <w:spacing w:after="80" w:before="80" w:line="260"/>
        <w:ind w:left="200" w:right="200"/>
      </w:pPr>
      <w:r>
        <w:rPr>
          <w:rFonts w:ascii="Courier New" w:cs="Courier New" w:eastAsia="Courier New" w:hAnsi="Courier New"/>
          <w:color w:val="0F172A"/>
          <w:sz w:val="18"/>
          <w:szCs w:val="18"/>
        </w:rPr>
        <w:t xml:space="preserve"> P(abnormal)                        P(profile | window)</w:t>
      </w:r>
    </w:p>
    <w:p>
      <w:pPr>
        <w:shd w:fill="F1F5F9" w:val="clear"/>
        <w:spacing w:after="80" w:before="80" w:line="260"/>
        <w:ind w:left="200" w:right="200"/>
      </w:pPr>
      <w:r>
        <w:rPr>
          <w:rFonts w:ascii="Courier New" w:cs="Courier New" w:eastAsia="Courier New" w:hAnsi="Courier New"/>
          <w:color w:val="0F172A"/>
          <w:sz w:val="18"/>
          <w:szCs w:val="18"/>
        </w:rPr>
        <w:t xml:space="preserve">                            |</w:t>
      </w:r>
    </w:p>
    <w:p>
      <w:pPr>
        <w:shd w:fill="F1F5F9" w:val="clear"/>
        <w:spacing w:after="80" w:before="80" w:line="260"/>
        <w:ind w:left="200" w:right="200"/>
      </w:pPr>
      <w:r>
        <w:rPr>
          <w:rFonts w:ascii="Courier New" w:cs="Courier New" w:eastAsia="Courier New" w:hAnsi="Courier New"/>
          <w:color w:val="0F172A"/>
          <w:sz w:val="18"/>
          <w:szCs w:val="18"/>
        </w:rPr>
        <w:t xml:space="preserve">                            v</w:t>
      </w:r>
    </w:p>
    <w:p>
      <w:pPr>
        <w:shd w:fill="F1F5F9" w:val="clear"/>
        <w:spacing w:after="80" w:before="80" w:line="260"/>
        <w:ind w:left="200" w:right="200"/>
      </w:pPr>
      <w:r>
        <w:rPr>
          <w:rFonts w:ascii="Courier New" w:cs="Courier New" w:eastAsia="Courier New" w:hAnsi="Courier New"/>
          <w:color w:val="0F172A"/>
          <w:sz w:val="18"/>
          <w:szCs w:val="18"/>
        </w:rPr>
        <w:t xml:space="preserve"> Dense(32) embedding  -&gt;  k-NN cohort retrieval (300 cases)</w:t>
      </w:r>
    </w:p>
    <w:p>
      <w:pPr>
        <w:pStyle w:val="Heading1"/>
        <w:pageBreakBefore/>
        <w:spacing w:after="200" w:before="480"/>
      </w:pPr>
      <w:r>
        <w:rPr>
          <w:rFonts w:ascii="Arial" w:cs="Arial" w:eastAsia="Arial" w:hAnsi="Arial"/>
          <w:b/>
          <w:bCs/>
          <w:color w:val="1E3A8A"/>
          <w:sz w:val="36"/>
          <w:szCs w:val="36"/>
        </w:rPr>
        <w:t xml:space="preserve">5. Hardware: IMU Wearable Specifications</w:t>
      </w:r>
    </w:p>
    <w:p>
      <w:pPr>
        <w:spacing w:after="60" w:before="60" w:line="300"/>
        <w:jc w:val="left"/>
      </w:pPr>
      <w:r>
        <w:rPr>
          <w:rFonts w:ascii="Arial" w:cs="Arial" w:eastAsia="Arial" w:hAnsi="Arial"/>
          <w:b w:val="false"/>
          <w:bCs w:val="false"/>
          <w:i w:val="false"/>
          <w:iCs w:val="false"/>
          <w:color w:val="111827"/>
          <w:sz w:val="22"/>
          <w:szCs w:val="22"/>
        </w:rPr>
        <w:t xml:space="preserve">Motion-AI assumes a minimal wearable kit of four IMU bands worn on each wrist and ankle. The sensor format is deliberately minimal — minimum number of sensors that still discriminate among the modelled pathologies, so the system is affordable and unobtrusive.</w:t>
      </w:r>
    </w:p>
    <w:p>
      <w:pPr>
        <w:pStyle w:val="Heading2"/>
        <w:spacing w:after="140" w:before="320"/>
      </w:pPr>
      <w:r>
        <w:rPr>
          <w:rFonts w:ascii="Arial" w:cs="Arial" w:eastAsia="Arial" w:hAnsi="Arial"/>
          <w:b/>
          <w:bCs/>
          <w:color w:val="1E3A8A"/>
          <w:sz w:val="28"/>
          <w:szCs w:val="28"/>
        </w:rPr>
        <w:t xml:space="preserve">5.1 Sensor 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200"/>
        <w:gridCol w:w="4860"/>
      </w:tblGrid>
      <w:tr>
        <w:trPr>
          <w:tblHeader/>
        </w:trPr>
        <w:tc>
          <w:tcPr>
            <w:tcW w:type="dxa" w:w="1300"/>
            <w:tcBorders>
              <w:top w:val="single" w:color="CBD5E1" w:sz="4"/>
              <w:left w:val="single" w:color="CBD5E1" w:sz="4"/>
              <w:bottom w:val="single" w:color="CBD5E1" w:sz="4"/>
              <w:right w:val="single" w:color="CBD5E1" w:sz="4"/>
            </w:tcBorders>
            <w:shd w:fill="D5E8F0" w:val="clear"/>
            <w:tcMar>
              <w:top w:type="dxa" w:w="80"/>
              <w:left w:type="dxa" w:w="120"/>
              <w:bottom w:type="dxa" w:w="80"/>
              <w:right w:type="dxa" w:w="120"/>
            </w:tcMar>
          </w:tcPr>
          <w:p>
            <w:r>
              <w:rPr>
                <w:rFonts w:ascii="Arial" w:cs="Arial" w:eastAsia="Arial" w:hAnsi="Arial"/>
                <w:b/>
                <w:bCs/>
                <w:color w:val="0F172A"/>
                <w:sz w:val="20"/>
                <w:szCs w:val="20"/>
              </w:rPr>
              <w:t xml:space="preserve">Band</w:t>
            </w:r>
          </w:p>
        </w:tc>
        <w:tc>
          <w:tcPr>
            <w:tcW w:type="dxa" w:w="3200"/>
            <w:tcBorders>
              <w:top w:val="single" w:color="CBD5E1" w:sz="4"/>
              <w:left w:val="single" w:color="CBD5E1" w:sz="4"/>
              <w:bottom w:val="single" w:color="CBD5E1" w:sz="4"/>
              <w:right w:val="single" w:color="CBD5E1" w:sz="4"/>
            </w:tcBorders>
            <w:shd w:fill="D5E8F0" w:val="clear"/>
            <w:tcMar>
              <w:top w:type="dxa" w:w="80"/>
              <w:left w:type="dxa" w:w="120"/>
              <w:bottom w:type="dxa" w:w="80"/>
              <w:right w:type="dxa" w:w="120"/>
            </w:tcMar>
          </w:tcPr>
          <w:p>
            <w:r>
              <w:rPr>
                <w:rFonts w:ascii="Arial" w:cs="Arial" w:eastAsia="Arial" w:hAnsi="Arial"/>
                <w:b/>
                <w:bCs/>
                <w:color w:val="0F172A"/>
                <w:sz w:val="20"/>
                <w:szCs w:val="20"/>
              </w:rPr>
              <w:t xml:space="preserve">Anatomical location</w:t>
            </w:r>
          </w:p>
        </w:tc>
        <w:tc>
          <w:tcPr>
            <w:tcW w:type="dxa" w:w="4860"/>
            <w:tcBorders>
              <w:top w:val="single" w:color="CBD5E1" w:sz="4"/>
              <w:left w:val="single" w:color="CBD5E1" w:sz="4"/>
              <w:bottom w:val="single" w:color="CBD5E1" w:sz="4"/>
              <w:right w:val="single" w:color="CBD5E1" w:sz="4"/>
            </w:tcBorders>
            <w:shd w:fill="D5E8F0" w:val="clear"/>
            <w:tcMar>
              <w:top w:type="dxa" w:w="80"/>
              <w:left w:type="dxa" w:w="120"/>
              <w:bottom w:type="dxa" w:w="80"/>
              <w:right w:type="dxa" w:w="120"/>
            </w:tcMar>
          </w:tcPr>
          <w:p>
            <w:r>
              <w:rPr>
                <w:rFonts w:ascii="Arial" w:cs="Arial" w:eastAsia="Arial" w:hAnsi="Arial"/>
                <w:b/>
                <w:bCs/>
                <w:color w:val="0F172A"/>
                <w:sz w:val="20"/>
                <w:szCs w:val="20"/>
              </w:rPr>
              <w:t xml:space="preserve">Why this site</w:t>
            </w:r>
          </w:p>
        </w:tc>
      </w:tr>
      <w:tr>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Band 1</w:t>
            </w:r>
          </w:p>
        </w:tc>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Left wrist (distal radius, like a watch)</w:t>
            </w:r>
          </w:p>
        </w:tc>
        <w:tc>
          <w:tcPr>
            <w:tcW w:type="dxa" w:w="48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Captures the largest arm-swing amplitude; sensitive to flexor synergy and Parkinsonian pill-rolling tremor</w:t>
            </w:r>
          </w:p>
        </w:tc>
      </w:tr>
      <w:tr>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Band 2</w:t>
            </w:r>
          </w:p>
        </w:tc>
        <w:tc>
          <w:tcPr>
            <w:tcW w:type="dxa" w:w="3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Right wrist</w:t>
            </w:r>
          </w:p>
        </w:tc>
        <w:tc>
          <w:tcPr>
            <w:tcW w:type="dxa" w:w="48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Mirror of band 1; enables bilateral symmetry comparison</w:t>
            </w:r>
          </w:p>
        </w:tc>
      </w:tr>
      <w:tr>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Band 3</w:t>
            </w:r>
          </w:p>
        </w:tc>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Left ankle (lateral malleolus)</w:t>
            </w:r>
          </w:p>
        </w:tc>
        <w:tc>
          <w:tcPr>
            <w:tcW w:type="dxa" w:w="48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Captures foot clearance during swing phase (key for foot-drop detection) and step length</w:t>
            </w:r>
          </w:p>
        </w:tc>
      </w:tr>
      <w:tr>
        <w:tc>
          <w:tcPr>
            <w:tcW w:type="dxa" w:w="1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Band 4</w:t>
            </w:r>
          </w:p>
        </w:tc>
        <w:tc>
          <w:tcPr>
            <w:tcW w:type="dxa" w:w="3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Right ankle</w:t>
            </w:r>
          </w:p>
        </w:tc>
        <w:tc>
          <w:tcPr>
            <w:tcW w:type="dxa" w:w="48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Mirror of band 3</w:t>
            </w:r>
          </w:p>
        </w:tc>
      </w:tr>
    </w:tbl>
    <w:p>
      <w:pPr>
        <w:pStyle w:val="Heading2"/>
        <w:spacing w:after="140" w:before="320"/>
      </w:pPr>
      <w:r>
        <w:rPr>
          <w:rFonts w:ascii="Arial" w:cs="Arial" w:eastAsia="Arial" w:hAnsi="Arial"/>
          <w:b/>
          <w:bCs/>
          <w:color w:val="1E3A8A"/>
          <w:sz w:val="28"/>
          <w:szCs w:val="28"/>
        </w:rPr>
        <w:t xml:space="preserve">5.2 Required sensor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CBD5E1" w:sz="4"/>
              <w:left w:val="single" w:color="CBD5E1" w:sz="4"/>
              <w:bottom w:val="single" w:color="CBD5E1" w:sz="4"/>
              <w:right w:val="single" w:color="CBD5E1" w:sz="4"/>
            </w:tcBorders>
            <w:shd w:fill="D5E8F0" w:val="clear"/>
            <w:tcMar>
              <w:top w:type="dxa" w:w="80"/>
              <w:left w:type="dxa" w:w="120"/>
              <w:bottom w:type="dxa" w:w="80"/>
              <w:right w:type="dxa" w:w="120"/>
            </w:tcMar>
          </w:tcPr>
          <w:p>
            <w:r>
              <w:rPr>
                <w:rFonts w:ascii="Arial" w:cs="Arial" w:eastAsia="Arial" w:hAnsi="Arial"/>
                <w:b/>
                <w:bCs/>
                <w:color w:val="0F172A"/>
                <w:sz w:val="20"/>
                <w:szCs w:val="20"/>
              </w:rPr>
              <w:t xml:space="preserve">Parameter</w:t>
            </w:r>
          </w:p>
        </w:tc>
        <w:tc>
          <w:tcPr>
            <w:tcW w:type="dxa" w:w="6460"/>
            <w:tcBorders>
              <w:top w:val="single" w:color="CBD5E1" w:sz="4"/>
              <w:left w:val="single" w:color="CBD5E1" w:sz="4"/>
              <w:bottom w:val="single" w:color="CBD5E1" w:sz="4"/>
              <w:right w:val="single" w:color="CBD5E1" w:sz="4"/>
            </w:tcBorders>
            <w:shd w:fill="D5E8F0" w:val="clear"/>
            <w:tcMar>
              <w:top w:type="dxa" w:w="80"/>
              <w:left w:type="dxa" w:w="120"/>
              <w:bottom w:type="dxa" w:w="80"/>
              <w:right w:type="dxa" w:w="120"/>
            </w:tcMar>
          </w:tcPr>
          <w:p>
            <w:r>
              <w:rPr>
                <w:rFonts w:ascii="Arial" w:cs="Arial" w:eastAsia="Arial" w:hAnsi="Arial"/>
                <w:b/>
                <w:bCs/>
                <w:color w:val="0F172A"/>
                <w:sz w:val="20"/>
                <w:szCs w:val="20"/>
              </w:rPr>
              <w:t xml:space="preserve">Specification</w:t>
            </w:r>
          </w:p>
        </w:tc>
      </w:tr>
      <w:tr>
        <w:tc>
          <w:tcPr>
            <w:tcW w:type="dxa" w:w="2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Modality</w:t>
            </w:r>
          </w:p>
        </w:tc>
        <w:tc>
          <w:tcPr>
            <w:tcW w:type="dxa" w:w="64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3-axis accelerometer + 3-axis gyroscope (fused into 3-D position via on-device sensor fusion)</w:t>
            </w:r>
          </w:p>
        </w:tc>
      </w:tr>
      <w:tr>
        <w:tc>
          <w:tcPr>
            <w:tcW w:type="dxa" w:w="2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Sample rate (transmitted)</w:t>
            </w:r>
          </w:p>
        </w:tc>
        <w:tc>
          <w:tcPr>
            <w:tcW w:type="dxa" w:w="64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13 Hz (~75 ms per frame). 20-frame rolling window = 1.5 s of context</w:t>
            </w:r>
          </w:p>
        </w:tc>
      </w:tr>
      <w:tr>
        <w:tc>
          <w:tcPr>
            <w:tcW w:type="dxa" w:w="2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Position noise (per axis)</w:t>
            </w:r>
          </w:p>
        </w:tc>
        <w:tc>
          <w:tcPr>
            <w:tcW w:type="dxa" w:w="64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Engineered to tolerate sigma 0.5 to 2.5 cm; slow sensor drift up to 1 cm; the model is trained to be robust across this band</w:t>
            </w:r>
          </w:p>
        </w:tc>
      </w:tr>
      <w:tr>
        <w:tc>
          <w:tcPr>
            <w:tcW w:type="dxa" w:w="2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Wireless protocol</w:t>
            </w:r>
          </w:p>
        </w:tc>
        <w:tc>
          <w:tcPr>
            <w:tcW w:type="dxa" w:w="64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Bluetooth Low Energy 5 (standard) — bands stream to a hub (phone or local edge device) which runs the model</w:t>
            </w:r>
          </w:p>
        </w:tc>
      </w:tr>
      <w:tr>
        <w:tc>
          <w:tcPr>
            <w:tcW w:type="dxa" w:w="2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Battery target</w:t>
            </w:r>
          </w:p>
        </w:tc>
        <w:tc>
          <w:tcPr>
            <w:tcW w:type="dxa" w:w="64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&gt; 48 h continuous wear per band; rechargeable Li-Po</w:t>
            </w:r>
          </w:p>
        </w:tc>
      </w:tr>
      <w:tr>
        <w:tc>
          <w:tcPr>
            <w:tcW w:type="dxa" w:w="2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Form factor</w:t>
            </w:r>
          </w:p>
        </w:tc>
        <w:tc>
          <w:tcPr>
            <w:tcW w:type="dxa" w:w="64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Watch-style strap (wrist), small velcro cuff (ankle); weight &lt; 25 g per band</w:t>
            </w:r>
          </w:p>
        </w:tc>
      </w:tr>
      <w:tr>
        <w:tc>
          <w:tcPr>
            <w:tcW w:type="dxa" w:w="2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Data privacy</w:t>
            </w:r>
          </w:p>
        </w:tc>
        <w:tc>
          <w:tcPr>
            <w:tcW w:type="dxa" w:w="64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All inference performed locally on the hub; no raw kinematics leave the device</w:t>
            </w:r>
          </w:p>
        </w:tc>
      </w:tr>
    </w:tbl>
    <w:p>
      <w:pPr>
        <w:pStyle w:val="Heading2"/>
        <w:spacing w:after="140" w:before="320"/>
      </w:pPr>
      <w:r>
        <w:rPr>
          <w:rFonts w:ascii="Arial" w:cs="Arial" w:eastAsia="Arial" w:hAnsi="Arial"/>
          <w:b/>
          <w:bCs/>
          <w:color w:val="1E3A8A"/>
          <w:sz w:val="28"/>
          <w:szCs w:val="28"/>
        </w:rPr>
        <w:t xml:space="preserve">5.3 Coordinate system convention</w:t>
      </w:r>
    </w:p>
    <w:p>
      <w:pPr>
        <w:spacing w:after="60" w:before="60" w:line="300"/>
        <w:jc w:val="left"/>
      </w:pPr>
      <w:r>
        <w:rPr>
          <w:rFonts w:ascii="Arial" w:cs="Arial" w:eastAsia="Arial" w:hAnsi="Arial"/>
          <w:b w:val="false"/>
          <w:bCs w:val="false"/>
          <w:i w:val="false"/>
          <w:iCs w:val="false"/>
          <w:color w:val="111827"/>
          <w:sz w:val="22"/>
          <w:szCs w:val="22"/>
        </w:rPr>
        <w:t xml:space="preserve">The model expects each frame as 12 scalar values representing the (x, y, z) absolute position of each sensor in a body-relative 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4"/>
              <w:left w:val="single" w:color="CBD5E1" w:sz="4"/>
              <w:bottom w:val="single" w:color="CBD5E1" w:sz="4"/>
              <w:right w:val="single" w:color="CBD5E1" w:sz="4"/>
            </w:tcBorders>
            <w:shd w:fill="D5E8F0" w:val="clear"/>
            <w:tcMar>
              <w:top w:type="dxa" w:w="80"/>
              <w:left w:type="dxa" w:w="120"/>
              <w:bottom w:type="dxa" w:w="80"/>
              <w:right w:type="dxa" w:w="120"/>
            </w:tcMar>
          </w:tcPr>
          <w:p>
            <w:r>
              <w:rPr>
                <w:rFonts w:ascii="Arial" w:cs="Arial" w:eastAsia="Arial" w:hAnsi="Arial"/>
                <w:b/>
                <w:bCs/>
                <w:color w:val="0F172A"/>
                <w:sz w:val="20"/>
                <w:szCs w:val="20"/>
              </w:rPr>
              <w:t xml:space="preserve">Channel index</w:t>
            </w:r>
          </w:p>
        </w:tc>
        <w:tc>
          <w:tcPr>
            <w:tcW w:type="dxa" w:w="6960"/>
            <w:tcBorders>
              <w:top w:val="single" w:color="CBD5E1" w:sz="4"/>
              <w:left w:val="single" w:color="CBD5E1" w:sz="4"/>
              <w:bottom w:val="single" w:color="CBD5E1" w:sz="4"/>
              <w:right w:val="single" w:color="CBD5E1" w:sz="4"/>
            </w:tcBorders>
            <w:shd w:fill="D5E8F0" w:val="clear"/>
            <w:tcMar>
              <w:top w:type="dxa" w:w="80"/>
              <w:left w:type="dxa" w:w="120"/>
              <w:bottom w:type="dxa" w:w="80"/>
              <w:right w:type="dxa" w:w="120"/>
            </w:tcMar>
          </w:tcPr>
          <w:p>
            <w:r>
              <w:rPr>
                <w:rFonts w:ascii="Arial" w:cs="Arial" w:eastAsia="Arial" w:hAnsi="Arial"/>
                <w:b/>
                <w:bCs/>
                <w:color w:val="0F172A"/>
                <w:sz w:val="20"/>
                <w:szCs w:val="20"/>
              </w:rPr>
              <w:t xml:space="preserve">Meaning</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0, 1, 2</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Left wrist X (lateral, +right), Y (anterior-posterior, +forward), Z (vertical, +up)</w:t>
            </w:r>
          </w:p>
        </w:tc>
      </w:tr>
      <w:tr>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3, 4, 5</w:t>
            </w:r>
          </w:p>
        </w:tc>
        <w:tc>
          <w:tcPr>
            <w:tcW w:type="dxa" w:w="69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Right wrist X, Y, Z</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6, 7, 8</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Left ankle X, Y, Z</w:t>
            </w:r>
          </w:p>
        </w:tc>
      </w:tr>
      <w:tr>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9, 10, 11</w:t>
            </w:r>
          </w:p>
        </w:tc>
        <w:tc>
          <w:tcPr>
            <w:tcW w:type="dxa" w:w="69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Right ankle X, Y, Z</w:t>
            </w:r>
          </w:p>
        </w:tc>
      </w:tr>
    </w:tbl>
    <w:p>
      <w:pPr>
        <w:spacing w:after="60" w:before="60" w:line="300"/>
        <w:jc w:val="left"/>
      </w:pPr>
      <w:r>
        <w:rPr>
          <w:rFonts w:ascii="Arial" w:cs="Arial" w:eastAsia="Arial" w:hAnsi="Arial"/>
          <w:b w:val="false"/>
          <w:bCs w:val="false"/>
          <w:i w:val="false"/>
          <w:iCs w:val="false"/>
          <w:color w:val="111827"/>
          <w:sz w:val="22"/>
          <w:szCs w:val="22"/>
        </w:rPr>
        <w:t xml:space="preserve">The choice of position (rather than acceleration) outputs allows the on-device sensor-fusion pipeline to absorb the high-frequency noise of raw accelerometers and report a cleaner, lower-rate kinematic signal that the model can interpret directly.</w:t>
      </w:r>
    </w:p>
    <w:p>
      <w:pPr>
        <w:pStyle w:val="Heading1"/>
        <w:pageBreakBefore/>
        <w:spacing w:after="200" w:before="480"/>
      </w:pPr>
      <w:r>
        <w:rPr>
          <w:rFonts w:ascii="Arial" w:cs="Arial" w:eastAsia="Arial" w:hAnsi="Arial"/>
          <w:b/>
          <w:bCs/>
          <w:color w:val="1E3A8A"/>
          <w:sz w:val="36"/>
          <w:szCs w:val="36"/>
        </w:rPr>
        <w:t xml:space="preserve">6. Synthetic Training Dataset</w:t>
      </w:r>
    </w:p>
    <w:p>
      <w:pPr>
        <w:pStyle w:val="Heading2"/>
        <w:spacing w:after="140" w:before="320"/>
      </w:pPr>
      <w:r>
        <w:rPr>
          <w:rFonts w:ascii="Arial" w:cs="Arial" w:eastAsia="Arial" w:hAnsi="Arial"/>
          <w:b/>
          <w:bCs/>
          <w:color w:val="1E3A8A"/>
          <w:sz w:val="28"/>
          <w:szCs w:val="28"/>
        </w:rPr>
        <w:t xml:space="preserve">6.1 Why synthetic</w:t>
      </w:r>
    </w:p>
    <w:p>
      <w:pPr>
        <w:spacing w:after="60" w:before="60" w:line="300"/>
        <w:jc w:val="left"/>
      </w:pPr>
      <w:r>
        <w:rPr>
          <w:rFonts w:ascii="Arial" w:cs="Arial" w:eastAsia="Arial" w:hAnsi="Arial"/>
          <w:b w:val="false"/>
          <w:bCs w:val="false"/>
          <w:i w:val="false"/>
          <w:iCs w:val="false"/>
          <w:color w:val="111827"/>
          <w:sz w:val="22"/>
          <w:szCs w:val="22"/>
        </w:rPr>
        <w:t xml:space="preserve">Real labelled IMU gait corpora (PhysioNet Gait in Neurodegenerative Disease, Daphnet Freezing of Gait, MotionSense) exist but are small (50-200 subjects), narrow in pathology coverage, and recorded with disparate sensor layouts and sample rates. A physics-informed synthetic generator gives us full control of class balance, severity grading, subject diversity, and noise characteristics, and provides an unlimited training set for the architecture-design phase. The synthetic-trained model is intended as a strong transfer-learning starting point for fine-tuning on the smaller real corpora.</w:t>
      </w:r>
    </w:p>
    <w:p>
      <w:pPr>
        <w:pStyle w:val="Heading2"/>
        <w:spacing w:after="140" w:before="320"/>
      </w:pPr>
      <w:r>
        <w:rPr>
          <w:rFonts w:ascii="Arial" w:cs="Arial" w:eastAsia="Arial" w:hAnsi="Arial"/>
          <w:b/>
          <w:bCs/>
          <w:color w:val="1E3A8A"/>
          <w:sz w:val="28"/>
          <w:szCs w:val="28"/>
        </w:rPr>
        <w:t xml:space="preserve">6.2 Subject parameter randomization</w:t>
      </w:r>
    </w:p>
    <w:p>
      <w:pPr>
        <w:spacing w:after="60" w:before="60" w:line="300"/>
        <w:jc w:val="left"/>
      </w:pPr>
      <w:r>
        <w:rPr>
          <w:rFonts w:ascii="Arial" w:cs="Arial" w:eastAsia="Arial" w:hAnsi="Arial"/>
          <w:b w:val="false"/>
          <w:bCs w:val="false"/>
          <w:i w:val="false"/>
          <w:iCs w:val="false"/>
          <w:color w:val="111827"/>
          <w:sz w:val="22"/>
          <w:szCs w:val="22"/>
        </w:rPr>
        <w:t xml:space="preserve">Each generated gait window comes from a virtual subject with the following randomly sampled anthropometrics and sensor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3960"/>
      </w:tblGrid>
      <w:tr>
        <w:trPr>
          <w:tblHeader/>
        </w:trPr>
        <w:tc>
          <w:tcPr>
            <w:tcW w:type="dxa" w:w="2100"/>
            <w:tcBorders>
              <w:top w:val="single" w:color="CBD5E1" w:sz="4"/>
              <w:left w:val="single" w:color="CBD5E1" w:sz="4"/>
              <w:bottom w:val="single" w:color="CBD5E1" w:sz="4"/>
              <w:right w:val="single" w:color="CBD5E1" w:sz="4"/>
            </w:tcBorders>
            <w:shd w:fill="D5E8F0" w:val="clear"/>
            <w:tcMar>
              <w:top w:type="dxa" w:w="80"/>
              <w:left w:type="dxa" w:w="120"/>
              <w:bottom w:type="dxa" w:w="80"/>
              <w:right w:type="dxa" w:w="120"/>
            </w:tcMar>
          </w:tcPr>
          <w:p>
            <w:r>
              <w:rPr>
                <w:rFonts w:ascii="Arial" w:cs="Arial" w:eastAsia="Arial" w:hAnsi="Arial"/>
                <w:b/>
                <w:bCs/>
                <w:color w:val="0F172A"/>
                <w:sz w:val="20"/>
                <w:szCs w:val="20"/>
              </w:rPr>
              <w:t xml:space="preserve">Parameter</w:t>
            </w:r>
          </w:p>
        </w:tc>
        <w:tc>
          <w:tcPr>
            <w:tcW w:type="dxa" w:w="3300"/>
            <w:tcBorders>
              <w:top w:val="single" w:color="CBD5E1" w:sz="4"/>
              <w:left w:val="single" w:color="CBD5E1" w:sz="4"/>
              <w:bottom w:val="single" w:color="CBD5E1" w:sz="4"/>
              <w:right w:val="single" w:color="CBD5E1" w:sz="4"/>
            </w:tcBorders>
            <w:shd w:fill="D5E8F0" w:val="clear"/>
            <w:tcMar>
              <w:top w:type="dxa" w:w="80"/>
              <w:left w:type="dxa" w:w="120"/>
              <w:bottom w:type="dxa" w:w="80"/>
              <w:right w:type="dxa" w:w="120"/>
            </w:tcMar>
          </w:tcPr>
          <w:p>
            <w:r>
              <w:rPr>
                <w:rFonts w:ascii="Arial" w:cs="Arial" w:eastAsia="Arial" w:hAnsi="Arial"/>
                <w:b/>
                <w:bCs/>
                <w:color w:val="0F172A"/>
                <w:sz w:val="20"/>
                <w:szCs w:val="20"/>
              </w:rPr>
              <w:t xml:space="preserve">Distribution</w:t>
            </w:r>
          </w:p>
        </w:tc>
        <w:tc>
          <w:tcPr>
            <w:tcW w:type="dxa" w:w="3960"/>
            <w:tcBorders>
              <w:top w:val="single" w:color="CBD5E1" w:sz="4"/>
              <w:left w:val="single" w:color="CBD5E1" w:sz="4"/>
              <w:bottom w:val="single" w:color="CBD5E1" w:sz="4"/>
              <w:right w:val="single" w:color="CBD5E1" w:sz="4"/>
            </w:tcBorders>
            <w:shd w:fill="D5E8F0" w:val="clear"/>
            <w:tcMar>
              <w:top w:type="dxa" w:w="80"/>
              <w:left w:type="dxa" w:w="120"/>
              <w:bottom w:type="dxa" w:w="80"/>
              <w:right w:type="dxa" w:w="120"/>
            </w:tcMar>
          </w:tcPr>
          <w:p>
            <w:r>
              <w:rPr>
                <w:rFonts w:ascii="Arial" w:cs="Arial" w:eastAsia="Arial" w:hAnsi="Arial"/>
                <w:b/>
                <w:bCs/>
                <w:color w:val="0F172A"/>
                <w:sz w:val="20"/>
                <w:szCs w:val="20"/>
              </w:rPr>
              <w:t xml:space="preserve">Clinical rationale</w:t>
            </w:r>
          </w:p>
        </w:tc>
      </w:tr>
      <w:tr>
        <w:tc>
          <w:tcPr>
            <w:tcW w:type="dxa" w:w="2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Height</w:t>
            </w:r>
          </w:p>
        </w:tc>
        <w:tc>
          <w:tcPr>
            <w:tcW w:type="dxa" w:w="3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Uniform [1.55 m, 1.90 m]</w:t>
            </w:r>
          </w:p>
        </w:tc>
        <w:tc>
          <w:tcPr>
            <w:tcW w:type="dxa" w:w="3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Covers ~95 % of adult population height range</w:t>
            </w:r>
          </w:p>
        </w:tc>
      </w:tr>
      <w:tr>
        <w:tc>
          <w:tcPr>
            <w:tcW w:type="dxa" w:w="2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Cadence</w:t>
            </w:r>
          </w:p>
        </w:tc>
        <w:tc>
          <w:tcPr>
            <w:tcW w:type="dxa" w:w="3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Uniform [0.85 Hz, 1.25 Hz]</w:t>
            </w:r>
          </w:p>
        </w:tc>
        <w:tc>
          <w:tcPr>
            <w:tcW w:type="dxa" w:w="39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Normal adult walking cadence 100-130 steps/min</w:t>
            </w:r>
          </w:p>
        </w:tc>
      </w:tr>
      <w:tr>
        <w:tc>
          <w:tcPr>
            <w:tcW w:type="dxa" w:w="2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Stride length</w:t>
            </w:r>
          </w:p>
        </w:tc>
        <w:tc>
          <w:tcPr>
            <w:tcW w:type="dxa" w:w="3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Uniform [0.55, 0.80] x height</w:t>
            </w:r>
          </w:p>
        </w:tc>
        <w:tc>
          <w:tcPr>
            <w:tcW w:type="dxa" w:w="3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Standard Hof normalization</w:t>
            </w:r>
          </w:p>
        </w:tc>
      </w:tr>
      <w:tr>
        <w:tc>
          <w:tcPr>
            <w:tcW w:type="dxa" w:w="2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Arm-swing amplitude</w:t>
            </w:r>
          </w:p>
        </w:tc>
        <w:tc>
          <w:tcPr>
            <w:tcW w:type="dxa" w:w="3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Uniform [0.25, 0.45] x height</w:t>
            </w:r>
          </w:p>
        </w:tc>
        <w:tc>
          <w:tcPr>
            <w:tcW w:type="dxa" w:w="39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Population variation in arm swing</w:t>
            </w:r>
          </w:p>
        </w:tc>
      </w:tr>
      <w:tr>
        <w:tc>
          <w:tcPr>
            <w:tcW w:type="dxa" w:w="2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IMU noise sigma</w:t>
            </w:r>
          </w:p>
        </w:tc>
        <w:tc>
          <w:tcPr>
            <w:tcW w:type="dxa" w:w="3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Uniform [0.5 cm, 2.5 cm]</w:t>
            </w:r>
          </w:p>
        </w:tc>
        <w:tc>
          <w:tcPr>
            <w:tcW w:type="dxa" w:w="3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Spans cheap-IMU to research-grade</w:t>
            </w:r>
          </w:p>
        </w:tc>
      </w:tr>
      <w:tr>
        <w:tc>
          <w:tcPr>
            <w:tcW w:type="dxa" w:w="2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Slow sensor drift</w:t>
            </w:r>
          </w:p>
        </w:tc>
        <w:tc>
          <w:tcPr>
            <w:tcW w:type="dxa" w:w="3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Uniform [0, 1 cm] over the window</w:t>
            </w:r>
          </w:p>
        </w:tc>
        <w:tc>
          <w:tcPr>
            <w:tcW w:type="dxa" w:w="39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Models slow bias drift in MEMS sensors</w:t>
            </w:r>
          </w:p>
        </w:tc>
      </w:tr>
      <w:tr>
        <w:tc>
          <w:tcPr>
            <w:tcW w:type="dxa" w:w="2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Pathology severity</w:t>
            </w:r>
          </w:p>
        </w:tc>
        <w:tc>
          <w:tcPr>
            <w:tcW w:type="dxa" w:w="3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Uniform [0.55, 0.95] (when pathological)</w:t>
            </w:r>
          </w:p>
        </w:tc>
        <w:tc>
          <w:tcPr>
            <w:tcW w:type="dxa" w:w="3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Avoids degenerate edge cases at severity 0 and 1</w:t>
            </w:r>
          </w:p>
        </w:tc>
      </w:tr>
    </w:tbl>
    <w:p>
      <w:pPr>
        <w:pStyle w:val="Heading2"/>
        <w:spacing w:after="140" w:before="320"/>
      </w:pPr>
      <w:r>
        <w:rPr>
          <w:rFonts w:ascii="Arial" w:cs="Arial" w:eastAsia="Arial" w:hAnsi="Arial"/>
          <w:b/>
          <w:bCs/>
          <w:color w:val="1E3A8A"/>
          <w:sz w:val="28"/>
          <w:szCs w:val="28"/>
        </w:rPr>
        <w:t xml:space="preserve">6.3 Healthy baseline kinematics</w:t>
      </w:r>
    </w:p>
    <w:p>
      <w:pPr>
        <w:spacing w:after="60" w:before="60" w:line="300"/>
        <w:jc w:val="left"/>
      </w:pPr>
      <w:r>
        <w:rPr>
          <w:rFonts w:ascii="Arial" w:cs="Arial" w:eastAsia="Arial" w:hAnsi="Arial"/>
          <w:b w:val="false"/>
          <w:bCs w:val="false"/>
          <w:i w:val="false"/>
          <w:iCs w:val="false"/>
          <w:color w:val="111827"/>
          <w:sz w:val="22"/>
          <w:szCs w:val="22"/>
        </w:rPr>
        <w:t xml:space="preserve">The baseline (healthy) gait kinematics for each subject are deterministic functions of cadence, stride length, arm swing, and gait phase, implemented in scenarios._kinematics. Specifically:</w:t>
      </w:r>
    </w:p>
    <w:p>
      <w:pPr>
        <w:shd w:fill="F1F5F9" w:val="clear"/>
        <w:spacing w:after="80" w:before="80" w:line="260"/>
        <w:ind w:left="200" w:right="200"/>
      </w:pPr>
      <w:r>
        <w:rPr>
          <w:rFonts w:ascii="Courier New" w:cs="Courier New" w:eastAsia="Courier New" w:hAnsi="Courier New"/>
          <w:color w:val="0F172A"/>
          <w:sz w:val="18"/>
          <w:szCs w:val="18"/>
        </w:rPr>
        <w:t xml:space="preserve">phase(t) = 2*pi * cadence * t + random_phase_offset</w:t>
      </w:r>
    </w:p>
    <w:p>
      <w:pPr>
        <w:shd w:fill="F1F5F9" w:val="clear"/>
        <w:spacing w:after="80" w:before="80" w:line="260"/>
        <w:ind w:left="200" w:right="200"/>
      </w:pPr>
      <w:r>
        <w:rPr>
          <w:rFonts w:ascii="Courier New" w:cs="Courier New" w:eastAsia="Courier New" w:hAnsi="Courier New"/>
          <w:color w:val="0F172A"/>
          <w:sz w:val="18"/>
          <w:szCs w:val="18"/>
        </w:rPr>
        <w:t xml:space="preserve">l_arm_y(t) = arm_swing * sin(phase(t) + pi)     // anti-phase to right arm</w:t>
      </w:r>
    </w:p>
    <w:p>
      <w:pPr>
        <w:shd w:fill="F1F5F9" w:val="clear"/>
        <w:spacing w:after="80" w:before="80" w:line="260"/>
        <w:ind w:left="200" w:right="200"/>
      </w:pPr>
      <w:r>
        <w:rPr>
          <w:rFonts w:ascii="Courier New" w:cs="Courier New" w:eastAsia="Courier New" w:hAnsi="Courier New"/>
          <w:color w:val="0F172A"/>
          <w:sz w:val="18"/>
          <w:szCs w:val="18"/>
        </w:rPr>
        <w:t xml:space="preserve">r_arm_y(t) = arm_swing * sin(phase(t))</w:t>
      </w:r>
    </w:p>
    <w:p>
      <w:pPr>
        <w:shd w:fill="F1F5F9" w:val="clear"/>
        <w:spacing w:after="80" w:before="80" w:line="260"/>
        <w:ind w:left="200" w:right="200"/>
      </w:pPr>
      <w:r>
        <w:rPr>
          <w:rFonts w:ascii="Courier New" w:cs="Courier New" w:eastAsia="Courier New" w:hAnsi="Courier New"/>
          <w:color w:val="0F172A"/>
          <w:sz w:val="18"/>
          <w:szCs w:val="18"/>
        </w:rPr>
        <w:t xml:space="preserve">l_leg_y(t) = 0.5 * stride_length * sin(phase(t))</w:t>
      </w:r>
    </w:p>
    <w:p>
      <w:pPr>
        <w:shd w:fill="F1F5F9" w:val="clear"/>
        <w:spacing w:after="80" w:before="80" w:line="260"/>
        <w:ind w:left="200" w:right="200"/>
      </w:pPr>
      <w:r>
        <w:rPr>
          <w:rFonts w:ascii="Courier New" w:cs="Courier New" w:eastAsia="Courier New" w:hAnsi="Courier New"/>
          <w:color w:val="0F172A"/>
          <w:sz w:val="18"/>
          <w:szCs w:val="18"/>
        </w:rPr>
        <w:t xml:space="preserve">r_leg_y(t) = 0.5 * stride_length * sin(phase(t) + pi)</w:t>
      </w:r>
    </w:p>
    <w:p>
      <w:pPr>
        <w:shd w:fill="F1F5F9" w:val="clear"/>
        <w:spacing w:after="80" w:before="80" w:line="260"/>
        <w:ind w:left="200" w:right="200"/>
      </w:pPr>
      <w:r>
        <w:rPr>
          <w:rFonts w:ascii="Courier New" w:cs="Courier New" w:eastAsia="Courier New" w:hAnsi="Courier New"/>
          <w:color w:val="0F172A"/>
          <w:sz w:val="18"/>
          <w:szCs w:val="18"/>
        </w:rPr>
        <w:t xml:space="preserve">l_leg_z(t) = 0.05 + max(0, 0.12 * cos(phase(t)))   // half-rect foot clearance</w:t>
      </w:r>
    </w:p>
    <w:p>
      <w:pPr>
        <w:shd w:fill="F1F5F9" w:val="clear"/>
        <w:spacing w:after="80" w:before="80" w:line="260"/>
        <w:ind w:left="200" w:right="200"/>
      </w:pPr>
      <w:r>
        <w:rPr>
          <w:rFonts w:ascii="Courier New" w:cs="Courier New" w:eastAsia="Courier New" w:hAnsi="Courier New"/>
          <w:color w:val="0F172A"/>
          <w:sz w:val="18"/>
          <w:szCs w:val="18"/>
        </w:rPr>
        <w:t xml:space="preserve">r_leg_z(t) = 0.05 + max(0, 0.12 * cos(phase(t) + pi))</w:t>
      </w:r>
    </w:p>
    <w:p>
      <w:pPr>
        <w:spacing w:after="60" w:before="60" w:line="300"/>
        <w:jc w:val="left"/>
      </w:pPr>
      <w:r>
        <w:rPr>
          <w:rFonts w:ascii="Arial" w:cs="Arial" w:eastAsia="Arial" w:hAnsi="Arial"/>
          <w:b w:val="false"/>
          <w:bCs w:val="false"/>
          <w:i w:val="false"/>
          <w:iCs w:val="false"/>
          <w:color w:val="111827"/>
          <w:sz w:val="22"/>
          <w:szCs w:val="22"/>
        </w:rPr>
        <w:t xml:space="preserve">Wrists swing antiphase to the ipsilateral leg (normal counter-rotation). Foot clearance follows a half-rectified cosine — the foot only lifts during the swing phase of each stride.</w:t>
      </w:r>
    </w:p>
    <w:p>
      <w:pPr>
        <w:pStyle w:val="Heading2"/>
        <w:spacing w:after="140" w:before="320"/>
      </w:pPr>
      <w:r>
        <w:rPr>
          <w:rFonts w:ascii="Arial" w:cs="Arial" w:eastAsia="Arial" w:hAnsi="Arial"/>
          <w:b/>
          <w:bCs/>
          <w:color w:val="1E3A8A"/>
          <w:sz w:val="28"/>
          <w:szCs w:val="28"/>
        </w:rPr>
        <w:t xml:space="preserve">6.4 Pathology modifiers</w:t>
      </w:r>
    </w:p>
    <w:p>
      <w:pPr>
        <w:spacing w:after="60" w:before="60" w:line="300"/>
        <w:jc w:val="left"/>
      </w:pPr>
      <w:r>
        <w:rPr>
          <w:rFonts w:ascii="Arial" w:cs="Arial" w:eastAsia="Arial" w:hAnsi="Arial"/>
          <w:b w:val="false"/>
          <w:bCs w:val="false"/>
          <w:i w:val="false"/>
          <w:iCs w:val="false"/>
          <w:color w:val="111827"/>
          <w:sz w:val="22"/>
          <w:szCs w:val="22"/>
        </w:rPr>
        <w:t xml:space="preserve">For each pathological profile, the generator overlays severity-scaled deltas on the affected limbs. Severity is on a continuous [0, 1] scale, with 0 reverting to healthy baseline and 1 producing the maximum modelled deficit.</w:t>
      </w:r>
    </w:p>
    <w:p>
      <w:pPr>
        <w:pStyle w:val="Heading3"/>
        <w:spacing w:after="100" w:before="240"/>
      </w:pPr>
      <w:r>
        <w:rPr>
          <w:rFonts w:ascii="Arial" w:cs="Arial" w:eastAsia="Arial" w:hAnsi="Arial"/>
          <w:b/>
          <w:bCs/>
          <w:color w:val="1F2937"/>
          <w:sz w:val="24"/>
          <w:szCs w:val="24"/>
        </w:rPr>
        <w:t xml:space="preserve">Left hemiparesis</w:t>
      </w:r>
    </w:p>
    <w:p>
      <w:pPr>
        <w:shd w:fill="F1F5F9" w:val="clear"/>
        <w:spacing w:after="80" w:before="80" w:line="260"/>
        <w:ind w:left="200" w:right="200"/>
      </w:pPr>
      <w:r>
        <w:rPr>
          <w:rFonts w:ascii="Courier New" w:cs="Courier New" w:eastAsia="Courier New" w:hAnsi="Courier New"/>
          <w:color w:val="0F172A"/>
          <w:sz w:val="18"/>
          <w:szCs w:val="18"/>
        </w:rPr>
        <w:t xml:space="preserve">l_arm_y *= (1 - 0.85 * severity)        // up to 85% loss of arm swing</w:t>
      </w:r>
    </w:p>
    <w:p>
      <w:pPr>
        <w:shd w:fill="F1F5F9" w:val="clear"/>
        <w:spacing w:after="80" w:before="80" w:line="260"/>
        <w:ind w:left="200" w:right="200"/>
      </w:pPr>
      <w:r>
        <w:rPr>
          <w:rFonts w:ascii="Courier New" w:cs="Courier New" w:eastAsia="Courier New" w:hAnsi="Courier New"/>
          <w:color w:val="0F172A"/>
          <w:sz w:val="18"/>
          <w:szCs w:val="18"/>
        </w:rPr>
        <w:t xml:space="preserve">l_arm_x += 0.10 * severity              // arm held closer to body</w:t>
      </w:r>
    </w:p>
    <w:p>
      <w:pPr>
        <w:shd w:fill="F1F5F9" w:val="clear"/>
        <w:spacing w:after="80" w:before="80" w:line="260"/>
        <w:ind w:left="200" w:right="200"/>
      </w:pPr>
      <w:r>
        <w:rPr>
          <w:rFonts w:ascii="Courier New" w:cs="Courier New" w:eastAsia="Courier New" w:hAnsi="Courier New"/>
          <w:color w:val="0F172A"/>
          <w:sz w:val="18"/>
          <w:szCs w:val="18"/>
        </w:rPr>
        <w:t xml:space="preserve">l_arm_z += 0.08 * severity              // elbow flexion lifts wrist</w:t>
      </w:r>
    </w:p>
    <w:p>
      <w:pPr>
        <w:shd w:fill="F1F5F9" w:val="clear"/>
        <w:spacing w:after="80" w:before="80" w:line="260"/>
        <w:ind w:left="200" w:right="200"/>
      </w:pPr>
      <w:r>
        <w:rPr>
          <w:rFonts w:ascii="Courier New" w:cs="Courier New" w:eastAsia="Courier New" w:hAnsi="Courier New"/>
          <w:color w:val="0F172A"/>
          <w:sz w:val="18"/>
          <w:szCs w:val="18"/>
        </w:rPr>
        <w:t xml:space="preserve">l_leg_z = 0.05 + max(0, (0.12 - 0.10 * severity) * cos(phase))  // foot drop</w:t>
      </w:r>
    </w:p>
    <w:p>
      <w:pPr>
        <w:shd w:fill="F1F5F9" w:val="clear"/>
        <w:spacing w:after="80" w:before="80" w:line="260"/>
        <w:ind w:left="200" w:right="200"/>
      </w:pPr>
      <w:r>
        <w:rPr>
          <w:rFonts w:ascii="Courier New" w:cs="Courier New" w:eastAsia="Courier New" w:hAnsi="Courier New"/>
          <w:color w:val="0F172A"/>
          <w:sz w:val="18"/>
          <w:szCs w:val="18"/>
        </w:rPr>
        <w:t xml:space="preserve">l_leg_y *= (1 - 0.4 * severity)         // shorter step on left</w:t>
      </w:r>
    </w:p>
    <w:p>
      <w:pPr>
        <w:pStyle w:val="Heading3"/>
        <w:spacing w:after="100" w:before="240"/>
      </w:pPr>
      <w:r>
        <w:rPr>
          <w:rFonts w:ascii="Arial" w:cs="Arial" w:eastAsia="Arial" w:hAnsi="Arial"/>
          <w:b/>
          <w:bCs/>
          <w:color w:val="1F2937"/>
          <w:sz w:val="24"/>
          <w:szCs w:val="24"/>
        </w:rPr>
        <w:t xml:space="preserve">Right hemiparesis</w:t>
      </w:r>
    </w:p>
    <w:p>
      <w:pPr>
        <w:spacing w:after="60" w:before="60" w:line="300"/>
        <w:jc w:val="left"/>
      </w:pPr>
      <w:r>
        <w:rPr>
          <w:rFonts w:ascii="Arial" w:cs="Arial" w:eastAsia="Arial" w:hAnsi="Arial"/>
          <w:b w:val="false"/>
          <w:bCs w:val="false"/>
          <w:i w:val="false"/>
          <w:iCs w:val="false"/>
          <w:color w:val="111827"/>
          <w:sz w:val="22"/>
          <w:szCs w:val="22"/>
        </w:rPr>
        <w:t xml:space="preserve">Mirror image of left hemiparesis applied to right-side channels.</w:t>
      </w:r>
    </w:p>
    <w:p>
      <w:pPr>
        <w:pStyle w:val="Heading3"/>
        <w:spacing w:after="100" w:before="240"/>
      </w:pPr>
      <w:r>
        <w:rPr>
          <w:rFonts w:ascii="Arial" w:cs="Arial" w:eastAsia="Arial" w:hAnsi="Arial"/>
          <w:b/>
          <w:bCs/>
          <w:color w:val="1F2937"/>
          <w:sz w:val="24"/>
          <w:szCs w:val="24"/>
        </w:rPr>
        <w:t xml:space="preserve">Spastic (random side)</w:t>
      </w:r>
    </w:p>
    <w:p>
      <w:pPr>
        <w:spacing w:after="60" w:before="60" w:line="300"/>
        <w:jc w:val="left"/>
      </w:pPr>
      <w:r>
        <w:rPr>
          <w:rFonts w:ascii="Arial" w:cs="Arial" w:eastAsia="Arial" w:hAnsi="Arial"/>
          <w:b w:val="false"/>
          <w:bCs w:val="false"/>
          <w:i w:val="false"/>
          <w:iCs w:val="false"/>
          <w:color w:val="111827"/>
          <w:sz w:val="22"/>
          <w:szCs w:val="22"/>
        </w:rPr>
        <w:t xml:space="preserve">At construction time a side is randomly chosen (L or R). On the affected side: arm swing reduced 60 %, arm tucked toward midline, leg circumducted outward (peak 8 cm lateral excursion), step length reduced 30 %.</w:t>
      </w:r>
    </w:p>
    <w:p>
      <w:pPr>
        <w:pStyle w:val="Heading3"/>
        <w:spacing w:after="100" w:before="240"/>
      </w:pPr>
      <w:r>
        <w:rPr>
          <w:rFonts w:ascii="Arial" w:cs="Arial" w:eastAsia="Arial" w:hAnsi="Arial"/>
          <w:b/>
          <w:bCs/>
          <w:color w:val="1F2937"/>
          <w:sz w:val="24"/>
          <w:szCs w:val="24"/>
        </w:rPr>
        <w:t xml:space="preserve">Parkinsonian (bilateral)</w:t>
      </w:r>
    </w:p>
    <w:p>
      <w:pPr>
        <w:shd w:fill="F1F5F9" w:val="clear"/>
        <w:spacing w:after="80" w:before="80" w:line="260"/>
        <w:ind w:left="200" w:right="200"/>
      </w:pPr>
      <w:r>
        <w:rPr>
          <w:rFonts w:ascii="Courier New" w:cs="Courier New" w:eastAsia="Courier New" w:hAnsi="Courier New"/>
          <w:color w:val="0F172A"/>
          <w:sz w:val="18"/>
          <w:szCs w:val="18"/>
        </w:rPr>
        <w:t xml:space="preserve">l_arm_y *= (1 - 0.65 * severity)   // bilateral bradykinesia</w:t>
      </w:r>
    </w:p>
    <w:p>
      <w:pPr>
        <w:shd w:fill="F1F5F9" w:val="clear"/>
        <w:spacing w:after="80" w:before="80" w:line="260"/>
        <w:ind w:left="200" w:right="200"/>
      </w:pPr>
      <w:r>
        <w:rPr>
          <w:rFonts w:ascii="Courier New" w:cs="Courier New" w:eastAsia="Courier New" w:hAnsi="Courier New"/>
          <w:color w:val="0F172A"/>
          <w:sz w:val="18"/>
          <w:szCs w:val="18"/>
        </w:rPr>
        <w:t xml:space="preserve">r_arm_y *= (1 - 0.65 * severity)</w:t>
      </w:r>
    </w:p>
    <w:p>
      <w:pPr>
        <w:shd w:fill="F1F5F9" w:val="clear"/>
        <w:spacing w:after="80" w:before="80" w:line="260"/>
        <w:ind w:left="200" w:right="200"/>
      </w:pPr>
      <w:r>
        <w:rPr>
          <w:rFonts w:ascii="Courier New" w:cs="Courier New" w:eastAsia="Courier New" w:hAnsi="Courier New"/>
          <w:color w:val="0F172A"/>
          <w:sz w:val="18"/>
          <w:szCs w:val="18"/>
        </w:rPr>
        <w:t xml:space="preserve">l_leg_y *= (1 - 0.65 * severity)</w:t>
      </w:r>
    </w:p>
    <w:p>
      <w:pPr>
        <w:shd w:fill="F1F5F9" w:val="clear"/>
        <w:spacing w:after="80" w:before="80" w:line="260"/>
        <w:ind w:left="200" w:right="200"/>
      </w:pPr>
      <w:r>
        <w:rPr>
          <w:rFonts w:ascii="Courier New" w:cs="Courier New" w:eastAsia="Courier New" w:hAnsi="Courier New"/>
          <w:color w:val="0F172A"/>
          <w:sz w:val="18"/>
          <w:szCs w:val="18"/>
        </w:rPr>
        <w:t xml:space="preserve">r_leg_y *= (1 - 0.65 * severity)</w:t>
      </w:r>
    </w:p>
    <w:p>
      <w:pPr>
        <w:shd w:fill="F1F5F9" w:val="clear"/>
        <w:spacing w:after="80" w:before="80" w:line="260"/>
        <w:ind w:left="200" w:right="200"/>
      </w:pPr>
      <w:r>
        <w:rPr>
          <w:rFonts w:ascii="Courier New" w:cs="Courier New" w:eastAsia="Courier New" w:hAnsi="Courier New"/>
          <w:color w:val="0F172A"/>
          <w:sz w:val="18"/>
          <w:szCs w:val="18"/>
        </w:rPr>
        <w:t xml:space="preserve">l_leg_z = 0.05 + max(0, 0.04 * cos(phase))   // shuffling (4 cm clearance)</w:t>
      </w:r>
    </w:p>
    <w:p>
      <w:pPr>
        <w:shd w:fill="F1F5F9" w:val="clear"/>
        <w:spacing w:after="80" w:before="80" w:line="260"/>
        <w:ind w:left="200" w:right="200"/>
      </w:pPr>
      <w:r>
        <w:rPr>
          <w:rFonts w:ascii="Courier New" w:cs="Courier New" w:eastAsia="Courier New" w:hAnsi="Courier New"/>
          <w:color w:val="0F172A"/>
          <w:sz w:val="18"/>
          <w:szCs w:val="18"/>
        </w:rPr>
        <w:t xml:space="preserve">r_leg_z = 0.05 + max(0, 0.04 * cos(phase + pi))</w:t>
      </w:r>
    </w:p>
    <w:p>
      <w:pPr>
        <w:shd w:fill="F1F5F9" w:val="clear"/>
        <w:spacing w:after="80" w:before="80" w:line="260"/>
        <w:ind w:left="200" w:right="200"/>
      </w:pPr>
      <w:r>
        <w:rPr>
          <w:rFonts w:ascii="Courier New" w:cs="Courier New" w:eastAsia="Courier New" w:hAnsi="Courier New"/>
          <w:color w:val="0F172A"/>
          <w:sz w:val="18"/>
          <w:szCs w:val="18"/>
        </w:rPr>
        <w:t xml:space="preserve">tremor = 0.015 * severity * sin(2*pi * 5.5 * t)   // 5.5 Hz pill-rolling</w:t>
      </w:r>
    </w:p>
    <w:p>
      <w:pPr>
        <w:shd w:fill="F1F5F9" w:val="clear"/>
        <w:spacing w:after="80" w:before="80" w:line="260"/>
        <w:ind w:left="200" w:right="200"/>
      </w:pPr>
      <w:r>
        <w:rPr>
          <w:rFonts w:ascii="Courier New" w:cs="Courier New" w:eastAsia="Courier New" w:hAnsi="Courier New"/>
          <w:color w:val="0F172A"/>
          <w:sz w:val="18"/>
          <w:szCs w:val="18"/>
        </w:rPr>
        <w:t xml:space="preserve">l_arm_x += tremor;  r_arm_x += tremor</w:t>
      </w:r>
    </w:p>
    <w:p>
      <w:pPr>
        <w:pStyle w:val="Heading3"/>
        <w:spacing w:after="100" w:before="240"/>
      </w:pPr>
      <w:r>
        <w:rPr>
          <w:rFonts w:ascii="Arial" w:cs="Arial" w:eastAsia="Arial" w:hAnsi="Arial"/>
          <w:b/>
          <w:bCs/>
          <w:color w:val="1F2937"/>
          <w:sz w:val="24"/>
          <w:szCs w:val="24"/>
        </w:rPr>
        <w:t xml:space="preserve">Cerebellar ataxia</w:t>
      </w:r>
    </w:p>
    <w:p>
      <w:pPr>
        <w:spacing w:after="60" w:before="60" w:line="300"/>
        <w:jc w:val="left"/>
      </w:pPr>
      <w:r>
        <w:rPr>
          <w:rFonts w:ascii="Arial" w:cs="Arial" w:eastAsia="Arial" w:hAnsi="Arial"/>
          <w:b w:val="false"/>
          <w:bCs w:val="false"/>
          <w:i w:val="false"/>
          <w:iCs w:val="false"/>
          <w:color w:val="111827"/>
          <w:sz w:val="22"/>
          <w:szCs w:val="22"/>
        </w:rPr>
        <w:t xml:space="preserve">Gaussian jitter applied to lateral (x) and forward (y) components of every limb, scaled by severity. This reproduces the high stride-to-stride variability that is the hallmark cerebellar sign — symmetric in expectation but unpredictable in detail.</w:t>
      </w:r>
    </w:p>
    <w:p>
      <w:pPr>
        <w:pStyle w:val="Heading2"/>
        <w:spacing w:after="140" w:before="320"/>
      </w:pPr>
      <w:r>
        <w:rPr>
          <w:rFonts w:ascii="Arial" w:cs="Arial" w:eastAsia="Arial" w:hAnsi="Arial"/>
          <w:b/>
          <w:bCs/>
          <w:color w:val="1E3A8A"/>
          <w:sz w:val="28"/>
          <w:szCs w:val="28"/>
        </w:rPr>
        <w:t xml:space="preserve">6.5 Final dataset 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BD5E1" w:sz="4"/>
              <w:left w:val="single" w:color="CBD5E1" w:sz="4"/>
              <w:bottom w:val="single" w:color="CBD5E1" w:sz="4"/>
              <w:right w:val="single" w:color="CBD5E1" w:sz="4"/>
            </w:tcBorders>
            <w:shd w:fill="D5E8F0" w:val="clear"/>
            <w:tcMar>
              <w:top w:type="dxa" w:w="80"/>
              <w:left w:type="dxa" w:w="120"/>
              <w:bottom w:type="dxa" w:w="80"/>
              <w:right w:type="dxa" w:w="120"/>
            </w:tcMar>
          </w:tcPr>
          <w:p>
            <w:r>
              <w:rPr>
                <w:rFonts w:ascii="Arial" w:cs="Arial" w:eastAsia="Arial" w:hAnsi="Arial"/>
                <w:b/>
                <w:bCs/>
                <w:color w:val="0F172A"/>
                <w:sz w:val="20"/>
                <w:szCs w:val="20"/>
              </w:rPr>
              <w:t xml:space="preserve">Statistic</w:t>
            </w:r>
          </w:p>
        </w:tc>
        <w:tc>
          <w:tcPr>
            <w:tcW w:type="dxa" w:w="5860"/>
            <w:tcBorders>
              <w:top w:val="single" w:color="CBD5E1" w:sz="4"/>
              <w:left w:val="single" w:color="CBD5E1" w:sz="4"/>
              <w:bottom w:val="single" w:color="CBD5E1" w:sz="4"/>
              <w:right w:val="single" w:color="CBD5E1" w:sz="4"/>
            </w:tcBorders>
            <w:shd w:fill="D5E8F0" w:val="clear"/>
            <w:tcMar>
              <w:top w:type="dxa" w:w="80"/>
              <w:left w:type="dxa" w:w="120"/>
              <w:bottom w:type="dxa" w:w="80"/>
              <w:right w:type="dxa" w:w="120"/>
            </w:tcMar>
          </w:tcPr>
          <w:p>
            <w:r>
              <w:rPr>
                <w:rFonts w:ascii="Arial" w:cs="Arial" w:eastAsia="Arial" w:hAnsi="Arial"/>
                <w:b/>
                <w:bCs/>
                <w:color w:val="0F172A"/>
                <w:sz w:val="20"/>
                <w:szCs w:val="20"/>
              </w:rPr>
              <w:t xml:space="preserve">Value</w:t>
            </w:r>
          </w:p>
        </w:tc>
      </w:tr>
      <w:tr>
        <w:tc>
          <w:tcPr>
            <w:tcW w:type="dxa" w:w="3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Windows per class</w:t>
            </w:r>
          </w:p>
        </w:tc>
        <w:tc>
          <w:tcPr>
            <w:tcW w:type="dxa" w:w="58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1,200</w:t>
            </w:r>
          </w:p>
        </w:tc>
      </w:tr>
      <w:tr>
        <w:tc>
          <w:tcPr>
            <w:tcW w:type="dxa" w:w="3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Total windows</w:t>
            </w:r>
          </w:p>
        </w:tc>
        <w:tc>
          <w:tcPr>
            <w:tcW w:type="dxa" w:w="58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7,200 (6 classes balanced)</w:t>
            </w:r>
          </w:p>
        </w:tc>
      </w:tr>
      <w:tr>
        <w:tc>
          <w:tcPr>
            <w:tcW w:type="dxa" w:w="3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Window length</w:t>
            </w:r>
          </w:p>
        </w:tc>
        <w:tc>
          <w:tcPr>
            <w:tcW w:type="dxa" w:w="58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20 timesteps x 12 raw channels (= 20 x 24 after feature engineering)</w:t>
            </w:r>
          </w:p>
        </w:tc>
      </w:tr>
      <w:tr>
        <w:tc>
          <w:tcPr>
            <w:tcW w:type="dxa" w:w="3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Temporal coverage per window</w:t>
            </w:r>
          </w:p>
        </w:tc>
        <w:tc>
          <w:tcPr>
            <w:tcW w:type="dxa" w:w="58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1.5 s @ 13.3 Hz</w:t>
            </w:r>
          </w:p>
        </w:tc>
      </w:tr>
      <w:tr>
        <w:tc>
          <w:tcPr>
            <w:tcW w:type="dxa" w:w="3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Train / val / test split</w:t>
            </w:r>
          </w:p>
        </w:tc>
        <w:tc>
          <w:tcPr>
            <w:tcW w:type="dxa" w:w="58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68 % / 12 % / 20 %, stratified on multi-class label</w:t>
            </w:r>
          </w:p>
        </w:tc>
      </w:tr>
      <w:tr>
        <w:tc>
          <w:tcPr>
            <w:tcW w:type="dxa" w:w="3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Train size</w:t>
            </w:r>
          </w:p>
        </w:tc>
        <w:tc>
          <w:tcPr>
            <w:tcW w:type="dxa" w:w="58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4,896 windows</w:t>
            </w:r>
          </w:p>
        </w:tc>
      </w:tr>
      <w:tr>
        <w:tc>
          <w:tcPr>
            <w:tcW w:type="dxa" w:w="3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Val size</w:t>
            </w:r>
          </w:p>
        </w:tc>
        <w:tc>
          <w:tcPr>
            <w:tcW w:type="dxa" w:w="58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864 windows</w:t>
            </w:r>
          </w:p>
        </w:tc>
      </w:tr>
      <w:tr>
        <w:tc>
          <w:tcPr>
            <w:tcW w:type="dxa" w:w="3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Test size</w:t>
            </w:r>
          </w:p>
        </w:tc>
        <w:tc>
          <w:tcPr>
            <w:tcW w:type="dxa" w:w="58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1,440 windows</w:t>
            </w:r>
          </w:p>
        </w:tc>
      </w:tr>
      <w:tr>
        <w:tc>
          <w:tcPr>
            <w:tcW w:type="dxa" w:w="3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Random seed</w:t>
            </w:r>
          </w:p>
        </w:tc>
        <w:tc>
          <w:tcPr>
            <w:tcW w:type="dxa" w:w="58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42 (for reproducibility of all splits)</w:t>
            </w:r>
          </w:p>
        </w:tc>
      </w:tr>
    </w:tbl>
    <w:p>
      <w:pPr>
        <w:pStyle w:val="Heading1"/>
        <w:pageBreakBefore/>
        <w:spacing w:after="200" w:before="480"/>
      </w:pPr>
      <w:r>
        <w:rPr>
          <w:rFonts w:ascii="Arial" w:cs="Arial" w:eastAsia="Arial" w:hAnsi="Arial"/>
          <w:b/>
          <w:bCs/>
          <w:color w:val="1E3A8A"/>
          <w:sz w:val="36"/>
          <w:szCs w:val="36"/>
        </w:rPr>
        <w:t xml:space="preserve">7. Feature Engineering: 24 Clinical Biomarker Channels</w:t>
      </w:r>
    </w:p>
    <w:p>
      <w:pPr>
        <w:spacing w:after="60" w:before="60" w:line="300"/>
        <w:jc w:val="left"/>
      </w:pPr>
      <w:r>
        <w:rPr>
          <w:rFonts w:ascii="Arial" w:cs="Arial" w:eastAsia="Arial" w:hAnsi="Arial"/>
          <w:b w:val="false"/>
          <w:bCs w:val="false"/>
          <w:i w:val="false"/>
          <w:iCs w:val="false"/>
          <w:color w:val="111827"/>
          <w:sz w:val="22"/>
          <w:szCs w:val="22"/>
        </w:rPr>
        <w:t xml:space="preserve">The raw 12-channel sensor stream is expanded into a 24-channel "biomarker tensor" before the model sees it. This deliberate hand-crafted expansion encodes the clinical knowledge of what makes gait pathological — bilateral asymmetry, drift, and energy magnitude — and lets the network focus on temporal patterns rather than re-learning those derived quantities from scratch. The transformation is implemented in gait_sim.build_features().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900"/>
        <w:gridCol w:w="3060"/>
        <w:gridCol w:w="3800"/>
      </w:tblGrid>
      <w:tr>
        <w:trPr>
          <w:tblHeader/>
        </w:trPr>
        <w:tc>
          <w:tcPr>
            <w:tcW w:type="dxa" w:w="600"/>
            <w:tcBorders>
              <w:top w:val="single" w:color="CBD5E1" w:sz="4"/>
              <w:left w:val="single" w:color="CBD5E1" w:sz="4"/>
              <w:bottom w:val="single" w:color="CBD5E1" w:sz="4"/>
              <w:right w:val="single" w:color="CBD5E1" w:sz="4"/>
            </w:tcBorders>
            <w:shd w:fill="D5E8F0" w:val="clear"/>
            <w:tcMar>
              <w:top w:type="dxa" w:w="80"/>
              <w:left w:type="dxa" w:w="120"/>
              <w:bottom w:type="dxa" w:w="80"/>
              <w:right w:type="dxa" w:w="120"/>
            </w:tcMar>
          </w:tcPr>
          <w:p>
            <w:r>
              <w:rPr>
                <w:rFonts w:ascii="Arial" w:cs="Arial" w:eastAsia="Arial" w:hAnsi="Arial"/>
                <w:b/>
                <w:bCs/>
                <w:color w:val="0F172A"/>
                <w:sz w:val="20"/>
                <w:szCs w:val="20"/>
              </w:rPr>
              <w:t xml:space="preserve">Ch.</w:t>
            </w:r>
          </w:p>
        </w:tc>
        <w:tc>
          <w:tcPr>
            <w:tcW w:type="dxa" w:w="1900"/>
            <w:tcBorders>
              <w:top w:val="single" w:color="CBD5E1" w:sz="4"/>
              <w:left w:val="single" w:color="CBD5E1" w:sz="4"/>
              <w:bottom w:val="single" w:color="CBD5E1" w:sz="4"/>
              <w:right w:val="single" w:color="CBD5E1" w:sz="4"/>
            </w:tcBorders>
            <w:shd w:fill="D5E8F0" w:val="clear"/>
            <w:tcMar>
              <w:top w:type="dxa" w:w="80"/>
              <w:left w:type="dxa" w:w="120"/>
              <w:bottom w:type="dxa" w:w="80"/>
              <w:right w:type="dxa" w:w="120"/>
            </w:tcMar>
          </w:tcPr>
          <w:p>
            <w:r>
              <w:rPr>
                <w:rFonts w:ascii="Arial" w:cs="Arial" w:eastAsia="Arial" w:hAnsi="Arial"/>
                <w:b/>
                <w:bCs/>
                <w:color w:val="0F172A"/>
                <w:sz w:val="20"/>
                <w:szCs w:val="20"/>
              </w:rPr>
              <w:t xml:space="preserve">Quantity</w:t>
            </w:r>
          </w:p>
        </w:tc>
        <w:tc>
          <w:tcPr>
            <w:tcW w:type="dxa" w:w="3060"/>
            <w:tcBorders>
              <w:top w:val="single" w:color="CBD5E1" w:sz="4"/>
              <w:left w:val="single" w:color="CBD5E1" w:sz="4"/>
              <w:bottom w:val="single" w:color="CBD5E1" w:sz="4"/>
              <w:right w:val="single" w:color="CBD5E1" w:sz="4"/>
            </w:tcBorders>
            <w:shd w:fill="D5E8F0" w:val="clear"/>
            <w:tcMar>
              <w:top w:type="dxa" w:w="80"/>
              <w:left w:type="dxa" w:w="120"/>
              <w:bottom w:type="dxa" w:w="80"/>
              <w:right w:type="dxa" w:w="120"/>
            </w:tcMar>
          </w:tcPr>
          <w:p>
            <w:r>
              <w:rPr>
                <w:rFonts w:ascii="Arial" w:cs="Arial" w:eastAsia="Arial" w:hAnsi="Arial"/>
                <w:b/>
                <w:bCs/>
                <w:color w:val="0F172A"/>
                <w:sz w:val="20"/>
                <w:szCs w:val="20"/>
              </w:rPr>
              <w:t xml:space="preserve">Computation</w:t>
            </w:r>
          </w:p>
        </w:tc>
        <w:tc>
          <w:tcPr>
            <w:tcW w:type="dxa" w:w="3800"/>
            <w:tcBorders>
              <w:top w:val="single" w:color="CBD5E1" w:sz="4"/>
              <w:left w:val="single" w:color="CBD5E1" w:sz="4"/>
              <w:bottom w:val="single" w:color="CBD5E1" w:sz="4"/>
              <w:right w:val="single" w:color="CBD5E1" w:sz="4"/>
            </w:tcBorders>
            <w:shd w:fill="D5E8F0" w:val="clear"/>
            <w:tcMar>
              <w:top w:type="dxa" w:w="80"/>
              <w:left w:type="dxa" w:w="120"/>
              <w:bottom w:type="dxa" w:w="80"/>
              <w:right w:type="dxa" w:w="120"/>
            </w:tcMar>
          </w:tcPr>
          <w:p>
            <w:r>
              <w:rPr>
                <w:rFonts w:ascii="Arial" w:cs="Arial" w:eastAsia="Arial" w:hAnsi="Arial"/>
                <w:b/>
                <w:bCs/>
                <w:color w:val="0F172A"/>
                <w:sz w:val="20"/>
                <w:szCs w:val="20"/>
              </w:rPr>
              <w:t xml:space="preserve">Clinical interpretation</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0-2</w:t>
            </w:r>
          </w:p>
        </w:tc>
        <w:tc>
          <w:tcPr>
            <w:tcW w:type="dxa" w:w="1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L-wrist X, Y, Z</w:t>
            </w:r>
          </w:p>
        </w:tc>
        <w:tc>
          <w:tcPr>
            <w:tcW w:type="dxa" w:w="3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raw[:, 0:3]</w:t>
            </w:r>
          </w:p>
        </w:tc>
        <w:tc>
          <w:tcPr>
            <w:tcW w:type="dxa" w:w="3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Position of left wrist in body frame</w:t>
            </w:r>
          </w:p>
        </w:tc>
      </w:tr>
      <w:tr>
        <w:tc>
          <w:tcPr>
            <w:tcW w:type="dxa" w:w="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3-5</w:t>
            </w:r>
          </w:p>
        </w:tc>
        <w:tc>
          <w:tcPr>
            <w:tcW w:type="dxa" w:w="1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R-wrist X, Y, Z</w:t>
            </w:r>
          </w:p>
        </w:tc>
        <w:tc>
          <w:tcPr>
            <w:tcW w:type="dxa" w:w="3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raw[:, 3:6]</w:t>
            </w:r>
          </w:p>
        </w:tc>
        <w:tc>
          <w:tcPr>
            <w:tcW w:type="dxa" w:w="3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Position of right wrist</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6-8</w:t>
            </w:r>
          </w:p>
        </w:tc>
        <w:tc>
          <w:tcPr>
            <w:tcW w:type="dxa" w:w="1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L-ankle X, Y, Z</w:t>
            </w:r>
          </w:p>
        </w:tc>
        <w:tc>
          <w:tcPr>
            <w:tcW w:type="dxa" w:w="3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raw[:, 6:9]</w:t>
            </w:r>
          </w:p>
        </w:tc>
        <w:tc>
          <w:tcPr>
            <w:tcW w:type="dxa" w:w="3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Position of left ankle</w:t>
            </w:r>
          </w:p>
        </w:tc>
      </w:tr>
      <w:tr>
        <w:tc>
          <w:tcPr>
            <w:tcW w:type="dxa" w:w="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9-11</w:t>
            </w:r>
          </w:p>
        </w:tc>
        <w:tc>
          <w:tcPr>
            <w:tcW w:type="dxa" w:w="1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R-ankle X, Y, Z</w:t>
            </w:r>
          </w:p>
        </w:tc>
        <w:tc>
          <w:tcPr>
            <w:tcW w:type="dxa" w:w="3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raw[:, 9:12]</w:t>
            </w:r>
          </w:p>
        </w:tc>
        <w:tc>
          <w:tcPr>
            <w:tcW w:type="dxa" w:w="3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Position of right ankle</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12-14</w:t>
            </w:r>
          </w:p>
        </w:tc>
        <w:tc>
          <w:tcPr>
            <w:tcW w:type="dxa" w:w="1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Arm drift X, Y, Z</w:t>
            </w:r>
          </w:p>
        </w:tc>
        <w:tc>
          <w:tcPr>
            <w:tcW w:type="dxa" w:w="3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L_arm - R_arm (per-axis)</w:t>
            </w:r>
          </w:p>
        </w:tc>
        <w:tc>
          <w:tcPr>
            <w:tcW w:type="dxa" w:w="3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Instantaneous bilateral arm asymmetry; large values indicate hemiparesis</w:t>
            </w:r>
          </w:p>
        </w:tc>
      </w:tr>
      <w:tr>
        <w:tc>
          <w:tcPr>
            <w:tcW w:type="dxa" w:w="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15-17</w:t>
            </w:r>
          </w:p>
        </w:tc>
        <w:tc>
          <w:tcPr>
            <w:tcW w:type="dxa" w:w="1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Leg drift X, Y, Z</w:t>
            </w:r>
          </w:p>
        </w:tc>
        <w:tc>
          <w:tcPr>
            <w:tcW w:type="dxa" w:w="3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L_leg - R_leg (per-axis)</w:t>
            </w:r>
          </w:p>
        </w:tc>
        <w:tc>
          <w:tcPr>
            <w:tcW w:type="dxa" w:w="3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Bilateral leg asymmetry; indicates hemiparesis, spastic gait, foot drop</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18</w:t>
            </w:r>
          </w:p>
        </w:tc>
        <w:tc>
          <w:tcPr>
            <w:tcW w:type="dxa" w:w="1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L-arm |XYZ|</w:t>
            </w:r>
          </w:p>
        </w:tc>
        <w:tc>
          <w:tcPr>
            <w:tcW w:type="dxa" w:w="3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||L_arm||</w:t>
            </w:r>
          </w:p>
        </w:tc>
        <w:tc>
          <w:tcPr>
            <w:tcW w:type="dxa" w:w="3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Kinetic energy proxy for left arm; reduced in bradykinesia</w:t>
            </w:r>
          </w:p>
        </w:tc>
      </w:tr>
      <w:tr>
        <w:tc>
          <w:tcPr>
            <w:tcW w:type="dxa" w:w="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19</w:t>
            </w:r>
          </w:p>
        </w:tc>
        <w:tc>
          <w:tcPr>
            <w:tcW w:type="dxa" w:w="1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R-arm |XYZ|</w:t>
            </w:r>
          </w:p>
        </w:tc>
        <w:tc>
          <w:tcPr>
            <w:tcW w:type="dxa" w:w="3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||R_arm||</w:t>
            </w:r>
          </w:p>
        </w:tc>
        <w:tc>
          <w:tcPr>
            <w:tcW w:type="dxa" w:w="3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Kinetic energy proxy for right arm</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20</w:t>
            </w:r>
          </w:p>
        </w:tc>
        <w:tc>
          <w:tcPr>
            <w:tcW w:type="dxa" w:w="1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L-leg |XYZ|</w:t>
            </w:r>
          </w:p>
        </w:tc>
        <w:tc>
          <w:tcPr>
            <w:tcW w:type="dxa" w:w="3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||L_leg||</w:t>
            </w:r>
          </w:p>
        </w:tc>
        <w:tc>
          <w:tcPr>
            <w:tcW w:type="dxa" w:w="3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Kinetic energy proxy for left leg</w:t>
            </w:r>
          </w:p>
        </w:tc>
      </w:tr>
      <w:tr>
        <w:tc>
          <w:tcPr>
            <w:tcW w:type="dxa" w:w="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21</w:t>
            </w:r>
          </w:p>
        </w:tc>
        <w:tc>
          <w:tcPr>
            <w:tcW w:type="dxa" w:w="1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R-leg |XYZ|</w:t>
            </w:r>
          </w:p>
        </w:tc>
        <w:tc>
          <w:tcPr>
            <w:tcW w:type="dxa" w:w="3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||R_leg||</w:t>
            </w:r>
          </w:p>
        </w:tc>
        <w:tc>
          <w:tcPr>
            <w:tcW w:type="dxa" w:w="3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Kinetic energy proxy for right leg</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22</w:t>
            </w:r>
          </w:p>
        </w:tc>
        <w:tc>
          <w:tcPr>
            <w:tcW w:type="dxa" w:w="1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Upper asym. idx</w:t>
            </w:r>
          </w:p>
        </w:tc>
        <w:tc>
          <w:tcPr>
            <w:tcW w:type="dxa" w:w="3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(|L_arm| - |R_arm|) / (|L_arm| + |R_arm| + eps)</w:t>
            </w:r>
          </w:p>
        </w:tc>
        <w:tc>
          <w:tcPr>
            <w:tcW w:type="dxa" w:w="3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Lateral arm balance; the classical hemiparesis signal</w:t>
            </w:r>
          </w:p>
        </w:tc>
      </w:tr>
      <w:tr>
        <w:tc>
          <w:tcPr>
            <w:tcW w:type="dxa" w:w="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23</w:t>
            </w:r>
          </w:p>
        </w:tc>
        <w:tc>
          <w:tcPr>
            <w:tcW w:type="dxa" w:w="1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Lower asym. idx</w:t>
            </w:r>
          </w:p>
        </w:tc>
        <w:tc>
          <w:tcPr>
            <w:tcW w:type="dxa" w:w="3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(|L_leg| - |R_leg|) / (|L_leg| + |R_leg| + eps)</w:t>
            </w:r>
          </w:p>
        </w:tc>
        <w:tc>
          <w:tcPr>
            <w:tcW w:type="dxa" w:w="3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Lateral leg balance</w:t>
            </w:r>
          </w:p>
        </w:tc>
      </w:tr>
    </w:tbl>
    <w:p>
      <w:pPr>
        <w:spacing w:after="60" w:before="60" w:line="300"/>
        <w:jc w:val="left"/>
      </w:pPr>
      <w:r>
        <w:rPr>
          <w:rFonts w:ascii="Arial" w:cs="Arial" w:eastAsia="Arial" w:hAnsi="Arial"/>
          <w:b w:val="false"/>
          <w:bCs w:val="false"/>
          <w:i w:val="false"/>
          <w:iCs w:val="false"/>
          <w:color w:val="111827"/>
          <w:sz w:val="22"/>
          <w:szCs w:val="22"/>
        </w:rPr>
        <w:t xml:space="preserve">All 24 channels are then standardized via a StandardScaler fitted on the training set. The asymmetry indices already lie in [-1, 1] but are scaled identically for input-distribution uniformity.</w:t>
      </w:r>
    </w:p>
    <w:p>
      <w:pPr>
        <w:pStyle w:val="Heading1"/>
        <w:pageBreakBefore/>
        <w:spacing w:after="200" w:before="480"/>
      </w:pPr>
      <w:r>
        <w:rPr>
          <w:rFonts w:ascii="Arial" w:cs="Arial" w:eastAsia="Arial" w:hAnsi="Arial"/>
          <w:b/>
          <w:bCs/>
          <w:color w:val="1E3A8A"/>
          <w:sz w:val="36"/>
          <w:szCs w:val="36"/>
        </w:rPr>
        <w:t xml:space="preserve">8. Neural Network Architecture</w:t>
      </w:r>
    </w:p>
    <w:p>
      <w:pPr>
        <w:spacing w:after="60" w:before="60" w:line="300"/>
        <w:jc w:val="left"/>
      </w:pPr>
      <w:r>
        <w:rPr>
          <w:rFonts w:ascii="Arial" w:cs="Arial" w:eastAsia="Arial" w:hAnsi="Arial"/>
          <w:b w:val="false"/>
          <w:bCs w:val="false"/>
          <w:i w:val="false"/>
          <w:iCs w:val="false"/>
          <w:color w:val="111827"/>
          <w:sz w:val="22"/>
          <w:szCs w:val="22"/>
        </w:rPr>
        <w:t xml:space="preserve">Two models share an identical backbone but differ in their output heads. Both consume the same (20, 24) input tensor.</w:t>
      </w:r>
    </w:p>
    <w:p>
      <w:pPr>
        <w:pStyle w:val="Heading2"/>
        <w:spacing w:after="140" w:before="320"/>
      </w:pPr>
      <w:r>
        <w:rPr>
          <w:rFonts w:ascii="Arial" w:cs="Arial" w:eastAsia="Arial" w:hAnsi="Arial"/>
          <w:b/>
          <w:bCs/>
          <w:color w:val="1E3A8A"/>
          <w:sz w:val="28"/>
          <w:szCs w:val="28"/>
        </w:rPr>
        <w:t xml:space="preserve">8.1 Shared backbone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60"/>
        <w:gridCol w:w="1500"/>
        <w:gridCol w:w="2600"/>
      </w:tblGrid>
      <w:tr>
        <w:trPr>
          <w:tblHeader/>
        </w:trPr>
        <w:tc>
          <w:tcPr>
            <w:tcW w:type="dxa" w:w="1800"/>
            <w:tcBorders>
              <w:top w:val="single" w:color="CBD5E1" w:sz="4"/>
              <w:left w:val="single" w:color="CBD5E1" w:sz="4"/>
              <w:bottom w:val="single" w:color="CBD5E1" w:sz="4"/>
              <w:right w:val="single" w:color="CBD5E1" w:sz="4"/>
            </w:tcBorders>
            <w:shd w:fill="D5E8F0" w:val="clear"/>
            <w:tcMar>
              <w:top w:type="dxa" w:w="80"/>
              <w:left w:type="dxa" w:w="120"/>
              <w:bottom w:type="dxa" w:w="80"/>
              <w:right w:type="dxa" w:w="120"/>
            </w:tcMar>
          </w:tcPr>
          <w:p>
            <w:r>
              <w:rPr>
                <w:rFonts w:ascii="Arial" w:cs="Arial" w:eastAsia="Arial" w:hAnsi="Arial"/>
                <w:b/>
                <w:bCs/>
                <w:color w:val="0F172A"/>
                <w:sz w:val="20"/>
                <w:szCs w:val="20"/>
              </w:rPr>
              <w:t xml:space="preserve">Layer</w:t>
            </w:r>
          </w:p>
        </w:tc>
        <w:tc>
          <w:tcPr>
            <w:tcW w:type="dxa" w:w="3460"/>
            <w:tcBorders>
              <w:top w:val="single" w:color="CBD5E1" w:sz="4"/>
              <w:left w:val="single" w:color="CBD5E1" w:sz="4"/>
              <w:bottom w:val="single" w:color="CBD5E1" w:sz="4"/>
              <w:right w:val="single" w:color="CBD5E1" w:sz="4"/>
            </w:tcBorders>
            <w:shd w:fill="D5E8F0" w:val="clear"/>
            <w:tcMar>
              <w:top w:type="dxa" w:w="80"/>
              <w:left w:type="dxa" w:w="120"/>
              <w:bottom w:type="dxa" w:w="80"/>
              <w:right w:type="dxa" w:w="120"/>
            </w:tcMar>
          </w:tcPr>
          <w:p>
            <w:r>
              <w:rPr>
                <w:rFonts w:ascii="Arial" w:cs="Arial" w:eastAsia="Arial" w:hAnsi="Arial"/>
                <w:b/>
                <w:bCs/>
                <w:color w:val="0F172A"/>
                <w:sz w:val="20"/>
                <w:szCs w:val="20"/>
              </w:rPr>
              <w:t xml:space="preserve">Parameters</w:t>
            </w:r>
          </w:p>
        </w:tc>
        <w:tc>
          <w:tcPr>
            <w:tcW w:type="dxa" w:w="1500"/>
            <w:tcBorders>
              <w:top w:val="single" w:color="CBD5E1" w:sz="4"/>
              <w:left w:val="single" w:color="CBD5E1" w:sz="4"/>
              <w:bottom w:val="single" w:color="CBD5E1" w:sz="4"/>
              <w:right w:val="single" w:color="CBD5E1" w:sz="4"/>
            </w:tcBorders>
            <w:shd w:fill="D5E8F0" w:val="clear"/>
            <w:tcMar>
              <w:top w:type="dxa" w:w="80"/>
              <w:left w:type="dxa" w:w="120"/>
              <w:bottom w:type="dxa" w:w="80"/>
              <w:right w:type="dxa" w:w="120"/>
            </w:tcMar>
          </w:tcPr>
          <w:p>
            <w:r>
              <w:rPr>
                <w:rFonts w:ascii="Arial" w:cs="Arial" w:eastAsia="Arial" w:hAnsi="Arial"/>
                <w:b/>
                <w:bCs/>
                <w:color w:val="0F172A"/>
                <w:sz w:val="20"/>
                <w:szCs w:val="20"/>
              </w:rPr>
              <w:t xml:space="preserve">Output shape</w:t>
            </w:r>
          </w:p>
        </w:tc>
        <w:tc>
          <w:tcPr>
            <w:tcW w:type="dxa" w:w="2600"/>
            <w:tcBorders>
              <w:top w:val="single" w:color="CBD5E1" w:sz="4"/>
              <w:left w:val="single" w:color="CBD5E1" w:sz="4"/>
              <w:bottom w:val="single" w:color="CBD5E1" w:sz="4"/>
              <w:right w:val="single" w:color="CBD5E1" w:sz="4"/>
            </w:tcBorders>
            <w:shd w:fill="D5E8F0" w:val="clear"/>
            <w:tcMar>
              <w:top w:type="dxa" w:w="80"/>
              <w:left w:type="dxa" w:w="120"/>
              <w:bottom w:type="dxa" w:w="80"/>
              <w:right w:type="dxa" w:w="120"/>
            </w:tcMar>
          </w:tcPr>
          <w:p>
            <w:r>
              <w:rPr>
                <w:rFonts w:ascii="Arial" w:cs="Arial" w:eastAsia="Arial" w:hAnsi="Arial"/>
                <w:b/>
                <w:bCs/>
                <w:color w:val="0F172A"/>
                <w:sz w:val="20"/>
                <w:szCs w:val="20"/>
              </w:rPr>
              <w:t xml:space="preserve">Role</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Input</w:t>
            </w:r>
          </w:p>
        </w:tc>
        <w:tc>
          <w:tcPr>
            <w:tcW w:type="dxa" w:w="34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(20, 24)</w:t>
            </w:r>
          </w:p>
        </w:tc>
        <w:tc>
          <w:tcPr>
            <w:tcW w:type="dxa" w:w="2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Scaled biomarker tensor</w:t>
            </w:r>
          </w:p>
        </w:tc>
      </w:tr>
      <w:tr>
        <w:tc>
          <w:tcPr>
            <w:tcW w:type="dxa" w:w="1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Conv1D</w:t>
            </w:r>
          </w:p>
        </w:tc>
        <w:tc>
          <w:tcPr>
            <w:tcW w:type="dxa" w:w="34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64 filters, kernel=3, same padding, ReLU</w:t>
            </w:r>
          </w:p>
        </w:tc>
        <w:tc>
          <w:tcPr>
            <w:tcW w:type="dxa" w:w="1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(20, 64)</w:t>
            </w:r>
          </w:p>
        </w:tc>
        <w:tc>
          <w:tcPr>
            <w:tcW w:type="dxa" w:w="2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Local temporal feature extraction (~225 ms receptive field)</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BatchNorm</w:t>
            </w:r>
          </w:p>
        </w:tc>
        <w:tc>
          <w:tcPr>
            <w:tcW w:type="dxa" w:w="34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(20, 64)</w:t>
            </w:r>
          </w:p>
        </w:tc>
        <w:tc>
          <w:tcPr>
            <w:tcW w:type="dxa" w:w="2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Stabilizes training, regularizes</w:t>
            </w:r>
          </w:p>
        </w:tc>
      </w:tr>
      <w:tr>
        <w:tc>
          <w:tcPr>
            <w:tcW w:type="dxa" w:w="1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Conv1D</w:t>
            </w:r>
          </w:p>
        </w:tc>
        <w:tc>
          <w:tcPr>
            <w:tcW w:type="dxa" w:w="34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64 filters, kernel=3, same padding, ReLU</w:t>
            </w:r>
          </w:p>
        </w:tc>
        <w:tc>
          <w:tcPr>
            <w:tcW w:type="dxa" w:w="1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(20, 64)</w:t>
            </w:r>
          </w:p>
        </w:tc>
        <w:tc>
          <w:tcPr>
            <w:tcW w:type="dxa" w:w="2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Deeper local features (~525 ms effective receptive field after pooling)</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MaxPool1D</w:t>
            </w:r>
          </w:p>
        </w:tc>
        <w:tc>
          <w:tcPr>
            <w:tcW w:type="dxa" w:w="34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pool=2</w:t>
            </w:r>
          </w:p>
        </w:tc>
        <w:tc>
          <w:tcPr>
            <w:tcW w:type="dxa" w:w="1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(10, 64)</w:t>
            </w:r>
          </w:p>
        </w:tc>
        <w:tc>
          <w:tcPr>
            <w:tcW w:type="dxa" w:w="2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Halves temporal dim, captures coarser rhythm</w:t>
            </w:r>
          </w:p>
        </w:tc>
      </w:tr>
      <w:tr>
        <w:tc>
          <w:tcPr>
            <w:tcW w:type="dxa" w:w="1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Dropout</w:t>
            </w:r>
          </w:p>
        </w:tc>
        <w:tc>
          <w:tcPr>
            <w:tcW w:type="dxa" w:w="34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0.3</w:t>
            </w:r>
          </w:p>
        </w:tc>
        <w:tc>
          <w:tcPr>
            <w:tcW w:type="dxa" w:w="1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(10, 64)</w:t>
            </w:r>
          </w:p>
        </w:tc>
        <w:tc>
          <w:tcPr>
            <w:tcW w:type="dxa" w:w="2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Regularization</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Bi-LSTM</w:t>
            </w:r>
          </w:p>
        </w:tc>
        <w:tc>
          <w:tcPr>
            <w:tcW w:type="dxa" w:w="34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48 units, return_sequences=False</w:t>
            </w:r>
          </w:p>
        </w:tc>
        <w:tc>
          <w:tcPr>
            <w:tcW w:type="dxa" w:w="1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(96,)</w:t>
            </w:r>
          </w:p>
        </w:tc>
        <w:tc>
          <w:tcPr>
            <w:tcW w:type="dxa" w:w="2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Bidirectional integration across the full 1.5 s window: gait rhythm, symmetry, stride-to-stride variability</w:t>
            </w:r>
          </w:p>
        </w:tc>
      </w:tr>
      <w:tr>
        <w:tc>
          <w:tcPr>
            <w:tcW w:type="dxa" w:w="1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Dropout</w:t>
            </w:r>
          </w:p>
        </w:tc>
        <w:tc>
          <w:tcPr>
            <w:tcW w:type="dxa" w:w="34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0.4</w:t>
            </w:r>
          </w:p>
        </w:tc>
        <w:tc>
          <w:tcPr>
            <w:tcW w:type="dxa" w:w="1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(96,)</w:t>
            </w:r>
          </w:p>
        </w:tc>
        <w:tc>
          <w:tcPr>
            <w:tcW w:type="dxa" w:w="2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Regularization</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Dense</w:t>
            </w:r>
          </w:p>
        </w:tc>
        <w:tc>
          <w:tcPr>
            <w:tcW w:type="dxa" w:w="34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32 units, ReLU</w:t>
            </w:r>
          </w:p>
        </w:tc>
        <w:tc>
          <w:tcPr>
            <w:tcW w:type="dxa" w:w="1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(32,)</w:t>
            </w:r>
          </w:p>
        </w:tc>
        <w:tc>
          <w:tcPr>
            <w:tcW w:type="dxa" w:w="2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Embedding layer; reused for cohort retrieval</w:t>
            </w:r>
          </w:p>
        </w:tc>
      </w:tr>
    </w:tbl>
    <w:p>
      <w:pPr>
        <w:pStyle w:val="Heading2"/>
        <w:spacing w:after="140" w:before="320"/>
      </w:pPr>
      <w:r>
        <w:rPr>
          <w:rFonts w:ascii="Arial" w:cs="Arial" w:eastAsia="Arial" w:hAnsi="Arial"/>
          <w:b/>
          <w:bCs/>
          <w:color w:val="1E3A8A"/>
          <w:sz w:val="28"/>
          <w:szCs w:val="28"/>
        </w:rPr>
        <w:t xml:space="preserve">8.2 Output heads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00"/>
        <w:gridCol w:w="2460"/>
        <w:gridCol w:w="1500"/>
      </w:tblGrid>
      <w:tr>
        <w:trPr>
          <w:tblHeader/>
        </w:trPr>
        <w:tc>
          <w:tcPr>
            <w:tcW w:type="dxa" w:w="2400"/>
            <w:tcBorders>
              <w:top w:val="single" w:color="CBD5E1" w:sz="4"/>
              <w:left w:val="single" w:color="CBD5E1" w:sz="4"/>
              <w:bottom w:val="single" w:color="CBD5E1" w:sz="4"/>
              <w:right w:val="single" w:color="CBD5E1" w:sz="4"/>
            </w:tcBorders>
            <w:shd w:fill="D5E8F0" w:val="clear"/>
            <w:tcMar>
              <w:top w:type="dxa" w:w="80"/>
              <w:left w:type="dxa" w:w="120"/>
              <w:bottom w:type="dxa" w:w="80"/>
              <w:right w:type="dxa" w:w="120"/>
            </w:tcMar>
          </w:tcPr>
          <w:p>
            <w:r>
              <w:rPr>
                <w:rFonts w:ascii="Arial" w:cs="Arial" w:eastAsia="Arial" w:hAnsi="Arial"/>
                <w:b/>
                <w:bCs/>
                <w:color w:val="0F172A"/>
                <w:sz w:val="20"/>
                <w:szCs w:val="20"/>
              </w:rPr>
              <w:t xml:space="preserve">Head</w:t>
            </w:r>
          </w:p>
        </w:tc>
        <w:tc>
          <w:tcPr>
            <w:tcW w:type="dxa" w:w="1500"/>
            <w:tcBorders>
              <w:top w:val="single" w:color="CBD5E1" w:sz="4"/>
              <w:left w:val="single" w:color="CBD5E1" w:sz="4"/>
              <w:bottom w:val="single" w:color="CBD5E1" w:sz="4"/>
              <w:right w:val="single" w:color="CBD5E1" w:sz="4"/>
            </w:tcBorders>
            <w:shd w:fill="D5E8F0" w:val="clear"/>
            <w:tcMar>
              <w:top w:type="dxa" w:w="80"/>
              <w:left w:type="dxa" w:w="120"/>
              <w:bottom w:type="dxa" w:w="80"/>
              <w:right w:type="dxa" w:w="120"/>
            </w:tcMar>
          </w:tcPr>
          <w:p>
            <w:r>
              <w:rPr>
                <w:rFonts w:ascii="Arial" w:cs="Arial" w:eastAsia="Arial" w:hAnsi="Arial"/>
                <w:b/>
                <w:bCs/>
                <w:color w:val="0F172A"/>
                <w:sz w:val="20"/>
                <w:szCs w:val="20"/>
              </w:rPr>
              <w:t xml:space="preserve">Layer</w:t>
            </w:r>
          </w:p>
        </w:tc>
        <w:tc>
          <w:tcPr>
            <w:tcW w:type="dxa" w:w="1500"/>
            <w:tcBorders>
              <w:top w:val="single" w:color="CBD5E1" w:sz="4"/>
              <w:left w:val="single" w:color="CBD5E1" w:sz="4"/>
              <w:bottom w:val="single" w:color="CBD5E1" w:sz="4"/>
              <w:right w:val="single" w:color="CBD5E1" w:sz="4"/>
            </w:tcBorders>
            <w:shd w:fill="D5E8F0" w:val="clear"/>
            <w:tcMar>
              <w:top w:type="dxa" w:w="80"/>
              <w:left w:type="dxa" w:w="120"/>
              <w:bottom w:type="dxa" w:w="80"/>
              <w:right w:type="dxa" w:w="120"/>
            </w:tcMar>
          </w:tcPr>
          <w:p>
            <w:r>
              <w:rPr>
                <w:rFonts w:ascii="Arial" w:cs="Arial" w:eastAsia="Arial" w:hAnsi="Arial"/>
                <w:b/>
                <w:bCs/>
                <w:color w:val="0F172A"/>
                <w:sz w:val="20"/>
                <w:szCs w:val="20"/>
              </w:rPr>
              <w:t xml:space="preserve">Activation</w:t>
            </w:r>
          </w:p>
        </w:tc>
        <w:tc>
          <w:tcPr>
            <w:tcW w:type="dxa" w:w="2460"/>
            <w:tcBorders>
              <w:top w:val="single" w:color="CBD5E1" w:sz="4"/>
              <w:left w:val="single" w:color="CBD5E1" w:sz="4"/>
              <w:bottom w:val="single" w:color="CBD5E1" w:sz="4"/>
              <w:right w:val="single" w:color="CBD5E1" w:sz="4"/>
            </w:tcBorders>
            <w:shd w:fill="D5E8F0" w:val="clear"/>
            <w:tcMar>
              <w:top w:type="dxa" w:w="80"/>
              <w:left w:type="dxa" w:w="120"/>
              <w:bottom w:type="dxa" w:w="80"/>
              <w:right w:type="dxa" w:w="120"/>
            </w:tcMar>
          </w:tcPr>
          <w:p>
            <w:r>
              <w:rPr>
                <w:rFonts w:ascii="Arial" w:cs="Arial" w:eastAsia="Arial" w:hAnsi="Arial"/>
                <w:b/>
                <w:bCs/>
                <w:color w:val="0F172A"/>
                <w:sz w:val="20"/>
                <w:szCs w:val="20"/>
              </w:rPr>
              <w:t xml:space="preserve">Loss</w:t>
            </w:r>
          </w:p>
        </w:tc>
        <w:tc>
          <w:tcPr>
            <w:tcW w:type="dxa" w:w="1500"/>
            <w:tcBorders>
              <w:top w:val="single" w:color="CBD5E1" w:sz="4"/>
              <w:left w:val="single" w:color="CBD5E1" w:sz="4"/>
              <w:bottom w:val="single" w:color="CBD5E1" w:sz="4"/>
              <w:right w:val="single" w:color="CBD5E1" w:sz="4"/>
            </w:tcBorders>
            <w:shd w:fill="D5E8F0" w:val="clear"/>
            <w:tcMar>
              <w:top w:type="dxa" w:w="80"/>
              <w:left w:type="dxa" w:w="120"/>
              <w:bottom w:type="dxa" w:w="80"/>
              <w:right w:type="dxa" w:w="120"/>
            </w:tcMar>
          </w:tcPr>
          <w:p>
            <w:r>
              <w:rPr>
                <w:rFonts w:ascii="Arial" w:cs="Arial" w:eastAsia="Arial" w:hAnsi="Arial"/>
                <w:b/>
                <w:bCs/>
                <w:color w:val="0F172A"/>
                <w:sz w:val="20"/>
                <w:szCs w:val="20"/>
              </w:rPr>
              <w:t xml:space="preserve">Output</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Binary screener</w:t>
            </w:r>
          </w:p>
        </w:tc>
        <w:tc>
          <w:tcPr>
            <w:tcW w:type="dxa" w:w="1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Dense(1)</w:t>
            </w:r>
          </w:p>
        </w:tc>
        <w:tc>
          <w:tcPr>
            <w:tcW w:type="dxa" w:w="1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Sigmoid</w:t>
            </w:r>
          </w:p>
        </w:tc>
        <w:tc>
          <w:tcPr>
            <w:tcW w:type="dxa" w:w="24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Binary cross-entropy</w:t>
            </w:r>
          </w:p>
        </w:tc>
        <w:tc>
          <w:tcPr>
            <w:tcW w:type="dxa" w:w="1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P(abnormal gait)</w:t>
            </w:r>
          </w:p>
        </w:tc>
      </w:tr>
      <w:tr>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Multiclass differential</w:t>
            </w:r>
          </w:p>
        </w:tc>
        <w:tc>
          <w:tcPr>
            <w:tcW w:type="dxa" w:w="1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Dense(6)</w:t>
            </w:r>
          </w:p>
        </w:tc>
        <w:tc>
          <w:tcPr>
            <w:tcW w:type="dxa" w:w="1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Softmax</w:t>
            </w:r>
          </w:p>
        </w:tc>
        <w:tc>
          <w:tcPr>
            <w:tcW w:type="dxa" w:w="24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Sparse categorical cross-entropy</w:t>
            </w:r>
          </w:p>
        </w:tc>
        <w:tc>
          <w:tcPr>
            <w:tcW w:type="dxa" w:w="1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P(profile | window)</w:t>
            </w:r>
          </w:p>
        </w:tc>
      </w:tr>
    </w:tbl>
    <w:p>
      <w:pPr>
        <w:pStyle w:val="Heading2"/>
        <w:spacing w:after="140" w:before="320"/>
      </w:pPr>
      <w:r>
        <w:rPr>
          <w:rFonts w:ascii="Arial" w:cs="Arial" w:eastAsia="Arial" w:hAnsi="Arial"/>
          <w:b/>
          <w:bCs/>
          <w:color w:val="1E3A8A"/>
          <w:sz w:val="28"/>
          <w:szCs w:val="28"/>
        </w:rPr>
        <w:t xml:space="preserve">8.3 Parameter counts</w:t>
      </w:r>
    </w:p>
    <w:p>
      <w:pPr>
        <w:spacing w:after="60" w:before="60" w:line="300"/>
        <w:jc w:val="left"/>
      </w:pPr>
      <w:r>
        <w:rPr>
          <w:rFonts w:ascii="Arial" w:cs="Arial" w:eastAsia="Arial" w:hAnsi="Arial"/>
          <w:b w:val="false"/>
          <w:bCs w:val="false"/>
          <w:i w:val="false"/>
          <w:iCs w:val="false"/>
          <w:color w:val="111827"/>
          <w:sz w:val="22"/>
          <w:szCs w:val="22"/>
        </w:rPr>
        <w:t xml:space="preserve">Binary screener: ~75 K trainable parameters. Multiclass head: same backbone plus the wider output. Combined storage for both models is ~1.4 MB on disk (HDF5 with float32 weights). Inference latency is sub-10 ms per window on a modern CPU and well under 1 ms on consumer GPU.</w:t>
      </w:r>
    </w:p>
    <w:p>
      <w:pPr>
        <w:pStyle w:val="Heading1"/>
        <w:pageBreakBefore/>
        <w:spacing w:after="200" w:before="480"/>
      </w:pPr>
      <w:r>
        <w:rPr>
          <w:rFonts w:ascii="Arial" w:cs="Arial" w:eastAsia="Arial" w:hAnsi="Arial"/>
          <w:b/>
          <w:bCs/>
          <w:color w:val="1E3A8A"/>
          <w:sz w:val="36"/>
          <w:szCs w:val="36"/>
        </w:rPr>
        <w:t xml:space="preserve">9. Training Methodology</w:t>
      </w:r>
    </w:p>
    <w:p>
      <w:pPr>
        <w:pStyle w:val="Heading2"/>
        <w:spacing w:after="140" w:before="320"/>
      </w:pPr>
      <w:r>
        <w:rPr>
          <w:rFonts w:ascii="Arial" w:cs="Arial" w:eastAsia="Arial" w:hAnsi="Arial"/>
          <w:b/>
          <w:bCs/>
          <w:color w:val="1E3A8A"/>
          <w:sz w:val="28"/>
          <w:szCs w:val="28"/>
        </w:rPr>
        <w:t xml:space="preserve">9.1 Hyperparameters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BD5E1" w:sz="4"/>
              <w:left w:val="single" w:color="CBD5E1" w:sz="4"/>
              <w:bottom w:val="single" w:color="CBD5E1" w:sz="4"/>
              <w:right w:val="single" w:color="CBD5E1" w:sz="4"/>
            </w:tcBorders>
            <w:shd w:fill="D5E8F0" w:val="clear"/>
            <w:tcMar>
              <w:top w:type="dxa" w:w="80"/>
              <w:left w:type="dxa" w:w="120"/>
              <w:bottom w:type="dxa" w:w="80"/>
              <w:right w:type="dxa" w:w="120"/>
            </w:tcMar>
          </w:tcPr>
          <w:p>
            <w:r>
              <w:rPr>
                <w:rFonts w:ascii="Arial" w:cs="Arial" w:eastAsia="Arial" w:hAnsi="Arial"/>
                <w:b/>
                <w:bCs/>
                <w:color w:val="0F172A"/>
                <w:sz w:val="20"/>
                <w:szCs w:val="20"/>
              </w:rPr>
              <w:t xml:space="preserve">Hyperparameter</w:t>
            </w:r>
          </w:p>
        </w:tc>
        <w:tc>
          <w:tcPr>
            <w:tcW w:type="dxa" w:w="5860"/>
            <w:tcBorders>
              <w:top w:val="single" w:color="CBD5E1" w:sz="4"/>
              <w:left w:val="single" w:color="CBD5E1" w:sz="4"/>
              <w:bottom w:val="single" w:color="CBD5E1" w:sz="4"/>
              <w:right w:val="single" w:color="CBD5E1" w:sz="4"/>
            </w:tcBorders>
            <w:shd w:fill="D5E8F0" w:val="clear"/>
            <w:tcMar>
              <w:top w:type="dxa" w:w="80"/>
              <w:left w:type="dxa" w:w="120"/>
              <w:bottom w:type="dxa" w:w="80"/>
              <w:right w:type="dxa" w:w="120"/>
            </w:tcMar>
          </w:tcPr>
          <w:p>
            <w:r>
              <w:rPr>
                <w:rFonts w:ascii="Arial" w:cs="Arial" w:eastAsia="Arial" w:hAnsi="Arial"/>
                <w:b/>
                <w:bCs/>
                <w:color w:val="0F172A"/>
                <w:sz w:val="20"/>
                <w:szCs w:val="20"/>
              </w:rPr>
              <w:t xml:space="preserve">Value</w:t>
            </w:r>
          </w:p>
        </w:tc>
      </w:tr>
      <w:tr>
        <w:tc>
          <w:tcPr>
            <w:tcW w:type="dxa" w:w="3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Optimizer</w:t>
            </w:r>
          </w:p>
        </w:tc>
        <w:tc>
          <w:tcPr>
            <w:tcW w:type="dxa" w:w="58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Adam</w:t>
            </w:r>
          </w:p>
        </w:tc>
      </w:tr>
      <w:tr>
        <w:tc>
          <w:tcPr>
            <w:tcW w:type="dxa" w:w="3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Initial learning rate</w:t>
            </w:r>
          </w:p>
        </w:tc>
        <w:tc>
          <w:tcPr>
            <w:tcW w:type="dxa" w:w="58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1e-3</w:t>
            </w:r>
          </w:p>
        </w:tc>
      </w:tr>
      <w:tr>
        <w:tc>
          <w:tcPr>
            <w:tcW w:type="dxa" w:w="3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Batch size</w:t>
            </w:r>
          </w:p>
        </w:tc>
        <w:tc>
          <w:tcPr>
            <w:tcW w:type="dxa" w:w="58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64</w:t>
            </w:r>
          </w:p>
        </w:tc>
      </w:tr>
      <w:tr>
        <w:tc>
          <w:tcPr>
            <w:tcW w:type="dxa" w:w="3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Maximum epochs</w:t>
            </w:r>
          </w:p>
        </w:tc>
        <w:tc>
          <w:tcPr>
            <w:tcW w:type="dxa" w:w="58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40</w:t>
            </w:r>
          </w:p>
        </w:tc>
      </w:tr>
      <w:tr>
        <w:tc>
          <w:tcPr>
            <w:tcW w:type="dxa" w:w="3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Loss (binary head)</w:t>
            </w:r>
          </w:p>
        </w:tc>
        <w:tc>
          <w:tcPr>
            <w:tcW w:type="dxa" w:w="58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Binary cross-entropy</w:t>
            </w:r>
          </w:p>
        </w:tc>
      </w:tr>
      <w:tr>
        <w:tc>
          <w:tcPr>
            <w:tcW w:type="dxa" w:w="3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Loss (multiclass head)</w:t>
            </w:r>
          </w:p>
        </w:tc>
        <w:tc>
          <w:tcPr>
            <w:tcW w:type="dxa" w:w="58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Sparse categorical cross-entropy</w:t>
            </w:r>
          </w:p>
        </w:tc>
      </w:tr>
      <w:tr>
        <w:tc>
          <w:tcPr>
            <w:tcW w:type="dxa" w:w="3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Tracked metrics</w:t>
            </w:r>
          </w:p>
        </w:tc>
        <w:tc>
          <w:tcPr>
            <w:tcW w:type="dxa" w:w="58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Accuracy, ROC-AUC (binary)</w:t>
            </w:r>
          </w:p>
        </w:tc>
      </w:tr>
      <w:tr>
        <w:tc>
          <w:tcPr>
            <w:tcW w:type="dxa" w:w="3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Random seed</w:t>
            </w:r>
          </w:p>
        </w:tc>
        <w:tc>
          <w:tcPr>
            <w:tcW w:type="dxa" w:w="58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42 (numpy + tf)</w:t>
            </w:r>
          </w:p>
        </w:tc>
      </w:tr>
    </w:tbl>
    <w:p>
      <w:pPr>
        <w:pStyle w:val="Heading2"/>
        <w:spacing w:after="140" w:before="320"/>
      </w:pPr>
      <w:r>
        <w:rPr>
          <w:rFonts w:ascii="Arial" w:cs="Arial" w:eastAsia="Arial" w:hAnsi="Arial"/>
          <w:b/>
          <w:bCs/>
          <w:color w:val="1E3A8A"/>
          <w:sz w:val="28"/>
          <w:szCs w:val="28"/>
        </w:rPr>
        <w:t xml:space="preserve">9.2 Callbacks</w:t>
      </w:r>
    </w:p>
    <w:p>
      <w:pPr>
        <w:pStyle w:val="ListParagraph"/>
        <w:numPr>
          <w:ilvl w:val="0"/>
          <w:numId w:val="2"/>
        </w:numPr>
        <w:spacing w:after="40" w:before="40" w:line="280"/>
      </w:pPr>
      <w:r>
        <w:rPr>
          <w:rFonts w:ascii="Arial" w:cs="Arial" w:eastAsia="Arial" w:hAnsi="Arial"/>
          <w:color w:val="111827"/>
          <w:sz w:val="22"/>
          <w:szCs w:val="22"/>
        </w:rPr>
        <w:t xml:space="preserve">EarlyStopping (monitor=val_loss, patience=6, restore_best_weights=True) — stops training once validation loss plateaus, recovering the best weights seen.</w:t>
      </w:r>
    </w:p>
    <w:p>
      <w:pPr>
        <w:pStyle w:val="ListParagraph"/>
        <w:numPr>
          <w:ilvl w:val="0"/>
          <w:numId w:val="2"/>
        </w:numPr>
        <w:spacing w:after="40" w:before="40" w:line="280"/>
      </w:pPr>
      <w:r>
        <w:rPr>
          <w:rFonts w:ascii="Arial" w:cs="Arial" w:eastAsia="Arial" w:hAnsi="Arial"/>
          <w:color w:val="111827"/>
          <w:sz w:val="22"/>
          <w:szCs w:val="22"/>
        </w:rPr>
        <w:t xml:space="preserve">ReduceLROnPlateau (monitor=val_loss, patience=3, factor=0.5) — halves learning rate when validation plateaus, accelerating convergence of the final epochs.</w:t>
      </w:r>
    </w:p>
    <w:p>
      <w:pPr>
        <w:pStyle w:val="Heading2"/>
        <w:spacing w:after="140" w:before="320"/>
      </w:pPr>
      <w:r>
        <w:rPr>
          <w:rFonts w:ascii="Arial" w:cs="Arial" w:eastAsia="Arial" w:hAnsi="Arial"/>
          <w:b/>
          <w:bCs/>
          <w:color w:val="1E3A8A"/>
          <w:sz w:val="28"/>
          <w:szCs w:val="28"/>
        </w:rPr>
        <w:t xml:space="preserve">9.3 Training procedure</w:t>
      </w:r>
    </w:p>
    <w:p>
      <w:pPr>
        <w:spacing w:after="60" w:before="60" w:line="300"/>
        <w:jc w:val="left"/>
      </w:pPr>
      <w:r>
        <w:rPr>
          <w:rFonts w:ascii="Arial" w:cs="Arial" w:eastAsia="Arial" w:hAnsi="Arial"/>
          <w:b w:val="false"/>
          <w:bCs w:val="false"/>
          <w:i w:val="false"/>
          <w:iCs w:val="false"/>
          <w:color w:val="111827"/>
          <w:sz w:val="22"/>
          <w:szCs w:val="22"/>
        </w:rPr>
        <w:t xml:space="preserve">The full training pipeline is implemented in train_model.py and is reproducible from a clean checkout:</w:t>
      </w:r>
    </w:p>
    <w:p>
      <w:pPr>
        <w:shd w:fill="F1F5F9" w:val="clear"/>
        <w:spacing w:after="80" w:before="80" w:line="260"/>
        <w:ind w:left="200" w:right="200"/>
      </w:pPr>
      <w:r>
        <w:rPr>
          <w:rFonts w:ascii="Courier New" w:cs="Courier New" w:eastAsia="Courier New" w:hAnsi="Courier New"/>
          <w:color w:val="0F172A"/>
          <w:sz w:val="18"/>
          <w:szCs w:val="18"/>
        </w:rPr>
        <w:t xml:space="preserve">python3 train_model.py</w:t>
      </w:r>
    </w:p>
    <w:p>
      <w:pPr>
        <w:spacing w:after="60" w:before="60" w:line="300"/>
        <w:jc w:val="left"/>
      </w:pPr>
      <w:r>
        <w:rPr>
          <w:rFonts w:ascii="Arial" w:cs="Arial" w:eastAsia="Arial" w:hAnsi="Arial"/>
          <w:b w:val="false"/>
          <w:bCs w:val="false"/>
          <w:i w:val="false"/>
          <w:iCs w:val="false"/>
          <w:color w:val="111827"/>
          <w:sz w:val="22"/>
          <w:szCs w:val="22"/>
        </w:rPr>
        <w:t xml:space="preserve">Sequence of operations:</w:t>
      </w:r>
    </w:p>
    <w:p>
      <w:pPr>
        <w:pStyle w:val="ListParagraph"/>
        <w:numPr>
          <w:ilvl w:val="0"/>
          <w:numId w:val="3"/>
        </w:numPr>
        <w:spacing w:after="40" w:before="40" w:line="280"/>
      </w:pPr>
      <w:r>
        <w:rPr>
          <w:rFonts w:ascii="Arial" w:cs="Arial" w:eastAsia="Arial" w:hAnsi="Arial"/>
          <w:color w:val="111827"/>
          <w:sz w:val="22"/>
          <w:szCs w:val="22"/>
        </w:rPr>
        <w:t xml:space="preserve">Generate 1,200 windows per class via scenarios.make_dataset(seed=42).</w:t>
      </w:r>
    </w:p>
    <w:p>
      <w:pPr>
        <w:pStyle w:val="ListParagraph"/>
        <w:numPr>
          <w:ilvl w:val="0"/>
          <w:numId w:val="3"/>
        </w:numPr>
        <w:spacing w:after="40" w:before="40" w:line="280"/>
      </w:pPr>
      <w:r>
        <w:rPr>
          <w:rFonts w:ascii="Arial" w:cs="Arial" w:eastAsia="Arial" w:hAnsi="Arial"/>
          <w:color w:val="111827"/>
          <w:sz w:val="22"/>
          <w:szCs w:val="22"/>
        </w:rPr>
        <w:t xml:space="preserve">Fit a StandardScaler on the flattened (n * 20, 24) feature matrix; save as scaler_v2.save.</w:t>
      </w:r>
    </w:p>
    <w:p>
      <w:pPr>
        <w:pStyle w:val="ListParagraph"/>
        <w:numPr>
          <w:ilvl w:val="0"/>
          <w:numId w:val="3"/>
        </w:numPr>
        <w:spacing w:after="40" w:before="40" w:line="280"/>
      </w:pPr>
      <w:r>
        <w:rPr>
          <w:rFonts w:ascii="Arial" w:cs="Arial" w:eastAsia="Arial" w:hAnsi="Arial"/>
          <w:color w:val="111827"/>
          <w:sz w:val="22"/>
          <w:szCs w:val="22"/>
        </w:rPr>
        <w:t xml:space="preserve">Stratified 80/20 train+val / test split, then a second 85/15 train/val split inside the training portion.</w:t>
      </w:r>
    </w:p>
    <w:p>
      <w:pPr>
        <w:pStyle w:val="ListParagraph"/>
        <w:numPr>
          <w:ilvl w:val="0"/>
          <w:numId w:val="3"/>
        </w:numPr>
        <w:spacing w:after="40" w:before="40" w:line="280"/>
      </w:pPr>
      <w:r>
        <w:rPr>
          <w:rFonts w:ascii="Arial" w:cs="Arial" w:eastAsia="Arial" w:hAnsi="Arial"/>
          <w:color w:val="111827"/>
          <w:sz w:val="22"/>
          <w:szCs w:val="22"/>
        </w:rPr>
        <w:t xml:space="preserve">Train the binary head with the callbacks above; evaluate on the held-out test set; save as stroke_model_v2.h5.</w:t>
      </w:r>
    </w:p>
    <w:p>
      <w:pPr>
        <w:pStyle w:val="ListParagraph"/>
        <w:numPr>
          <w:ilvl w:val="0"/>
          <w:numId w:val="3"/>
        </w:numPr>
        <w:spacing w:after="40" w:before="40" w:line="280"/>
      </w:pPr>
      <w:r>
        <w:rPr>
          <w:rFonts w:ascii="Arial" w:cs="Arial" w:eastAsia="Arial" w:hAnsi="Arial"/>
          <w:color w:val="111827"/>
          <w:sz w:val="22"/>
          <w:szCs w:val="22"/>
        </w:rPr>
        <w:t xml:space="preserve">Train the multiclass head from scratch on the same splits; save as motion_multiclass.h5.</w:t>
      </w:r>
    </w:p>
    <w:p>
      <w:pPr>
        <w:pStyle w:val="ListParagraph"/>
        <w:numPr>
          <w:ilvl w:val="0"/>
          <w:numId w:val="3"/>
        </w:numPr>
        <w:spacing w:after="40" w:before="40" w:line="280"/>
      </w:pPr>
      <w:r>
        <w:rPr>
          <w:rFonts w:ascii="Arial" w:cs="Arial" w:eastAsia="Arial" w:hAnsi="Arial"/>
          <w:color w:val="111827"/>
          <w:sz w:val="22"/>
          <w:szCs w:val="22"/>
        </w:rPr>
        <w:t xml:space="preserve">Write held-out classification reports, confusion matrices, and ROC-AUC to training_report.txt.</w:t>
      </w:r>
    </w:p>
    <w:p>
      <w:pPr>
        <w:pStyle w:val="Heading2"/>
        <w:spacing w:after="140" w:before="320"/>
      </w:pPr>
      <w:r>
        <w:rPr>
          <w:rFonts w:ascii="Arial" w:cs="Arial" w:eastAsia="Arial" w:hAnsi="Arial"/>
          <w:b/>
          <w:bCs/>
          <w:color w:val="1E3A8A"/>
          <w:sz w:val="28"/>
          <w:szCs w:val="28"/>
        </w:rPr>
        <w:t xml:space="preserve">9.4 Observed convergence</w:t>
      </w:r>
    </w:p>
    <w:p>
      <w:pPr>
        <w:spacing w:after="60" w:before="60" w:line="300"/>
        <w:jc w:val="left"/>
      </w:pPr>
      <w:r>
        <w:rPr>
          <w:rFonts w:ascii="Arial" w:cs="Arial" w:eastAsia="Arial" w:hAnsi="Arial"/>
          <w:b w:val="false"/>
          <w:bCs w:val="false"/>
          <w:i w:val="false"/>
          <w:iCs w:val="false"/>
          <w:color w:val="111827"/>
          <w:sz w:val="22"/>
          <w:szCs w:val="22"/>
        </w:rPr>
        <w:t xml:space="preserve">Both heads converge within 6-12 epochs of effective training (early-stopped). Binary validation accuracy crosses 99 % by epoch 2; multiclass validation accuracy crosses 95 % by epoch 4. There is no observed overfitting at the chosen model capacity for this synthetic distribution.</w:t>
      </w:r>
    </w:p>
    <w:p>
      <w:pPr>
        <w:pStyle w:val="Heading1"/>
        <w:pageBreakBefore/>
        <w:spacing w:after="200" w:before="480"/>
      </w:pPr>
      <w:r>
        <w:rPr>
          <w:rFonts w:ascii="Arial" w:cs="Arial" w:eastAsia="Arial" w:hAnsi="Arial"/>
          <w:b/>
          <w:bCs/>
          <w:color w:val="1E3A8A"/>
          <w:sz w:val="36"/>
          <w:szCs w:val="36"/>
        </w:rPr>
        <w:t xml:space="preserve">10. Validation and Held-Out Performance</w:t>
      </w:r>
    </w:p>
    <w:p>
      <w:pPr>
        <w:pStyle w:val="Heading2"/>
        <w:spacing w:after="140" w:before="320"/>
      </w:pPr>
      <w:r>
        <w:rPr>
          <w:rFonts w:ascii="Arial" w:cs="Arial" w:eastAsia="Arial" w:hAnsi="Arial"/>
          <w:b/>
          <w:bCs/>
          <w:color w:val="1E3A8A"/>
          <w:sz w:val="28"/>
          <w:szCs w:val="28"/>
        </w:rPr>
        <w:t xml:space="preserve">10.1 Binary screener (healthy vs abnormal)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BD5E1" w:sz="4"/>
              <w:left w:val="single" w:color="CBD5E1" w:sz="4"/>
              <w:bottom w:val="single" w:color="CBD5E1" w:sz="4"/>
              <w:right w:val="single" w:color="CBD5E1" w:sz="4"/>
            </w:tcBorders>
            <w:shd w:fill="D5E8F0" w:val="clear"/>
            <w:tcMar>
              <w:top w:type="dxa" w:w="80"/>
              <w:left w:type="dxa" w:w="120"/>
              <w:bottom w:type="dxa" w:w="80"/>
              <w:right w:type="dxa" w:w="120"/>
            </w:tcMar>
          </w:tcPr>
          <w:p>
            <w:r>
              <w:rPr>
                <w:rFonts w:ascii="Arial" w:cs="Arial" w:eastAsia="Arial" w:hAnsi="Arial"/>
                <w:b/>
                <w:bCs/>
                <w:color w:val="0F172A"/>
                <w:sz w:val="20"/>
                <w:szCs w:val="20"/>
              </w:rPr>
              <w:t xml:space="preserve">Metric</w:t>
            </w:r>
          </w:p>
        </w:tc>
        <w:tc>
          <w:tcPr>
            <w:tcW w:type="dxa" w:w="5860"/>
            <w:tcBorders>
              <w:top w:val="single" w:color="CBD5E1" w:sz="4"/>
              <w:left w:val="single" w:color="CBD5E1" w:sz="4"/>
              <w:bottom w:val="single" w:color="CBD5E1" w:sz="4"/>
              <w:right w:val="single" w:color="CBD5E1" w:sz="4"/>
            </w:tcBorders>
            <w:shd w:fill="D5E8F0" w:val="clear"/>
            <w:tcMar>
              <w:top w:type="dxa" w:w="80"/>
              <w:left w:type="dxa" w:w="120"/>
              <w:bottom w:type="dxa" w:w="80"/>
              <w:right w:type="dxa" w:w="120"/>
            </w:tcMar>
          </w:tcPr>
          <w:p>
            <w:r>
              <w:rPr>
                <w:rFonts w:ascii="Arial" w:cs="Arial" w:eastAsia="Arial" w:hAnsi="Arial"/>
                <w:b/>
                <w:bCs/>
                <w:color w:val="0F172A"/>
                <w:sz w:val="20"/>
                <w:szCs w:val="20"/>
              </w:rPr>
              <w:t xml:space="preserve">Value</w:t>
            </w:r>
          </w:p>
        </w:tc>
      </w:tr>
      <w:tr>
        <w:tc>
          <w:tcPr>
            <w:tcW w:type="dxa" w:w="3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Test set size</w:t>
            </w:r>
          </w:p>
        </w:tc>
        <w:tc>
          <w:tcPr>
            <w:tcW w:type="dxa" w:w="58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1,440 windows</w:t>
            </w:r>
          </w:p>
        </w:tc>
      </w:tr>
      <w:tr>
        <w:tc>
          <w:tcPr>
            <w:tcW w:type="dxa" w:w="3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Accuracy</w:t>
            </w:r>
          </w:p>
        </w:tc>
        <w:tc>
          <w:tcPr>
            <w:tcW w:type="dxa" w:w="58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99.5 %</w:t>
            </w:r>
          </w:p>
        </w:tc>
      </w:tr>
      <w:tr>
        <w:tc>
          <w:tcPr>
            <w:tcW w:type="dxa" w:w="3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Sensitivity (recall on abnormal)</w:t>
            </w:r>
          </w:p>
        </w:tc>
        <w:tc>
          <w:tcPr>
            <w:tcW w:type="dxa" w:w="58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99.75 %</w:t>
            </w:r>
          </w:p>
        </w:tc>
      </w:tr>
      <w:tr>
        <w:tc>
          <w:tcPr>
            <w:tcW w:type="dxa" w:w="3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Specificity (recall on healthy)</w:t>
            </w:r>
          </w:p>
        </w:tc>
        <w:tc>
          <w:tcPr>
            <w:tcW w:type="dxa" w:w="58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98.33 %</w:t>
            </w:r>
          </w:p>
        </w:tc>
      </w:tr>
      <w:tr>
        <w:tc>
          <w:tcPr>
            <w:tcW w:type="dxa" w:w="3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Precision (positive class)</w:t>
            </w:r>
          </w:p>
        </w:tc>
        <w:tc>
          <w:tcPr>
            <w:tcW w:type="dxa" w:w="58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99.67 %</w:t>
            </w:r>
          </w:p>
        </w:tc>
      </w:tr>
      <w:tr>
        <w:tc>
          <w:tcPr>
            <w:tcW w:type="dxa" w:w="3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F1-score</w:t>
            </w:r>
          </w:p>
        </w:tc>
        <w:tc>
          <w:tcPr>
            <w:tcW w:type="dxa" w:w="58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99.71 %</w:t>
            </w:r>
          </w:p>
        </w:tc>
      </w:tr>
      <w:tr>
        <w:tc>
          <w:tcPr>
            <w:tcW w:type="dxa" w:w="3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ROC-AUC</w:t>
            </w:r>
          </w:p>
        </w:tc>
        <w:tc>
          <w:tcPr>
            <w:tcW w:type="dxa" w:w="58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0.9999</w:t>
            </w:r>
          </w:p>
        </w:tc>
      </w:tr>
      <w:tr>
        <w:tc>
          <w:tcPr>
            <w:tcW w:type="dxa" w:w="3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Confusion (true vs pred)</w:t>
            </w:r>
          </w:p>
        </w:tc>
        <w:tc>
          <w:tcPr>
            <w:tcW w:type="dxa" w:w="58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TN=236, FP=4, FN=3, TP=1197</w:t>
            </w:r>
          </w:p>
        </w:tc>
      </w:tr>
    </w:tbl>
    <w:p>
      <w:pPr>
        <w:pStyle w:val="Heading2"/>
        <w:spacing w:after="140" w:before="320"/>
      </w:pPr>
      <w:r>
        <w:rPr>
          <w:rFonts w:ascii="Arial" w:cs="Arial" w:eastAsia="Arial" w:hAnsi="Arial"/>
          <w:b/>
          <w:bCs/>
          <w:color w:val="1E3A8A"/>
          <w:sz w:val="28"/>
          <w:szCs w:val="28"/>
        </w:rPr>
        <w:t xml:space="preserve">10.2 Multiclass differential (6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BD5E1" w:sz="4"/>
              <w:left w:val="single" w:color="CBD5E1" w:sz="4"/>
              <w:bottom w:val="single" w:color="CBD5E1" w:sz="4"/>
              <w:right w:val="single" w:color="CBD5E1" w:sz="4"/>
            </w:tcBorders>
            <w:shd w:fill="D5E8F0" w:val="clear"/>
            <w:tcMar>
              <w:top w:type="dxa" w:w="80"/>
              <w:left w:type="dxa" w:w="120"/>
              <w:bottom w:type="dxa" w:w="80"/>
              <w:right w:type="dxa" w:w="120"/>
            </w:tcMar>
          </w:tcPr>
          <w:p>
            <w:r>
              <w:rPr>
                <w:rFonts w:ascii="Arial" w:cs="Arial" w:eastAsia="Arial" w:hAnsi="Arial"/>
                <w:b/>
                <w:bCs/>
                <w:color w:val="0F172A"/>
                <w:sz w:val="20"/>
                <w:szCs w:val="20"/>
              </w:rPr>
              <w:t xml:space="preserve">Metric</w:t>
            </w:r>
          </w:p>
        </w:tc>
        <w:tc>
          <w:tcPr>
            <w:tcW w:type="dxa" w:w="5860"/>
            <w:tcBorders>
              <w:top w:val="single" w:color="CBD5E1" w:sz="4"/>
              <w:left w:val="single" w:color="CBD5E1" w:sz="4"/>
              <w:bottom w:val="single" w:color="CBD5E1" w:sz="4"/>
              <w:right w:val="single" w:color="CBD5E1" w:sz="4"/>
            </w:tcBorders>
            <w:shd w:fill="D5E8F0" w:val="clear"/>
            <w:tcMar>
              <w:top w:type="dxa" w:w="80"/>
              <w:left w:type="dxa" w:w="120"/>
              <w:bottom w:type="dxa" w:w="80"/>
              <w:right w:type="dxa" w:w="120"/>
            </w:tcMar>
          </w:tcPr>
          <w:p>
            <w:r>
              <w:rPr>
                <w:rFonts w:ascii="Arial" w:cs="Arial" w:eastAsia="Arial" w:hAnsi="Arial"/>
                <w:b/>
                <w:bCs/>
                <w:color w:val="0F172A"/>
                <w:sz w:val="20"/>
                <w:szCs w:val="20"/>
              </w:rPr>
              <w:t xml:space="preserve">Value</w:t>
            </w:r>
          </w:p>
        </w:tc>
      </w:tr>
      <w:tr>
        <w:tc>
          <w:tcPr>
            <w:tcW w:type="dxa" w:w="3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Accuracy</w:t>
            </w:r>
          </w:p>
        </w:tc>
        <w:tc>
          <w:tcPr>
            <w:tcW w:type="dxa" w:w="58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95.1 %</w:t>
            </w:r>
          </w:p>
        </w:tc>
      </w:tr>
      <w:tr>
        <w:tc>
          <w:tcPr>
            <w:tcW w:type="dxa" w:w="3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Macro F1</w:t>
            </w:r>
          </w:p>
        </w:tc>
        <w:tc>
          <w:tcPr>
            <w:tcW w:type="dxa" w:w="58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0.95</w:t>
            </w:r>
          </w:p>
        </w:tc>
      </w:tr>
      <w:tr>
        <w:tc>
          <w:tcPr>
            <w:tcW w:type="dxa" w:w="3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Worst per-class recall</w:t>
            </w:r>
          </w:p>
        </w:tc>
        <w:tc>
          <w:tcPr>
            <w:tcW w:type="dxa" w:w="58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Healthy (87.5 %) — mostly confused with low-severity ataxic</w:t>
            </w:r>
          </w:p>
        </w:tc>
      </w:tr>
      <w:tr>
        <w:tc>
          <w:tcPr>
            <w:tcW w:type="dxa" w:w="3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Best per-class recall</w:t>
            </w:r>
          </w:p>
        </w:tc>
        <w:tc>
          <w:tcPr>
            <w:tcW w:type="dxa" w:w="58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Right-hemiparesis (99.6 %)</w:t>
            </w:r>
          </w:p>
        </w:tc>
      </w:tr>
    </w:tbl>
    <w:p>
      <w:pPr>
        <w:spacing w:after="60" w:before="60" w:line="300"/>
        <w:jc w:val="left"/>
      </w:pPr>
      <w:r>
        <w:rPr>
          <w:rFonts w:ascii="Arial" w:cs="Arial" w:eastAsia="Arial" w:hAnsi="Arial"/>
          <w:b w:val="false"/>
          <w:bCs w:val="false"/>
          <w:i w:val="false"/>
          <w:iCs w:val="false"/>
          <w:color w:val="111827"/>
          <w:sz w:val="22"/>
          <w:szCs w:val="22"/>
        </w:rPr>
        <w:t xml:space="preserve">The healthy &lt;-&gt; ataxic confusion is biologically expected: low-severity cerebellar ataxia is dominated by stride-to-stride variability that, at small magnitudes, is statistically indistinguishable from healthy IMU noise. Clinically this is not a critical failure mode — it errs on the side of calling early/mild ataxia "healthy", which is exactly the regime in which a screener is least clinically useful anyway. A confirmatory in-clinic exam is always required.</w:t>
      </w:r>
    </w:p>
    <w:p>
      <w:pPr>
        <w:pStyle w:val="Heading1"/>
        <w:pageBreakBefore/>
        <w:spacing w:after="200" w:before="480"/>
      </w:pPr>
      <w:r>
        <w:rPr>
          <w:rFonts w:ascii="Arial" w:cs="Arial" w:eastAsia="Arial" w:hAnsi="Arial"/>
          <w:b/>
          <w:bCs/>
          <w:color w:val="1E3A8A"/>
          <w:sz w:val="36"/>
          <w:szCs w:val="36"/>
        </w:rPr>
        <w:t xml:space="preserve">11. Real-Time Inference Pipeline</w:t>
      </w:r>
    </w:p>
    <w:p>
      <w:pPr>
        <w:pStyle w:val="Heading2"/>
        <w:spacing w:after="140" w:before="320"/>
      </w:pPr>
      <w:r>
        <w:rPr>
          <w:rFonts w:ascii="Arial" w:cs="Arial" w:eastAsia="Arial" w:hAnsi="Arial"/>
          <w:b/>
          <w:bCs/>
          <w:color w:val="1E3A8A"/>
          <w:sz w:val="28"/>
          <w:szCs w:val="28"/>
        </w:rPr>
        <w:t xml:space="preserve">11.1 Sliding-window inference</w:t>
      </w:r>
    </w:p>
    <w:p>
      <w:pPr>
        <w:spacing w:after="60" w:before="60" w:line="300"/>
        <w:jc w:val="left"/>
      </w:pPr>
      <w:r>
        <w:rPr>
          <w:rFonts w:ascii="Arial" w:cs="Arial" w:eastAsia="Arial" w:hAnsi="Arial"/>
          <w:b w:val="false"/>
          <w:bCs w:val="false"/>
          <w:i w:val="false"/>
          <w:iCs w:val="false"/>
          <w:color w:val="111827"/>
          <w:sz w:val="22"/>
          <w:szCs w:val="22"/>
        </w:rPr>
        <w:t xml:space="preserve">At runtime the 4-IMU stream is continuously buffered. Every new sample triggers re-inference on the most recent 20-frame window (~1.5 s of history). The scenarios.sliding_window_inference() helper batches these windows for efficient GPU/CPU evaluation when reviewing a recorded sequence.</w:t>
      </w:r>
    </w:p>
    <w:p>
      <w:pPr>
        <w:pStyle w:val="Heading2"/>
        <w:spacing w:after="140" w:before="320"/>
      </w:pPr>
      <w:r>
        <w:rPr>
          <w:rFonts w:ascii="Arial" w:cs="Arial" w:eastAsia="Arial" w:hAnsi="Arial"/>
          <w:b/>
          <w:bCs/>
          <w:color w:val="1E3A8A"/>
          <w:sz w:val="28"/>
          <w:szCs w:val="28"/>
        </w:rPr>
        <w:t xml:space="preserve">11.2 Debounced alert logic</w:t>
      </w:r>
    </w:p>
    <w:p>
      <w:pPr>
        <w:spacing w:after="60" w:before="60" w:line="300"/>
        <w:jc w:val="left"/>
      </w:pPr>
      <w:r>
        <w:rPr>
          <w:rFonts w:ascii="Arial" w:cs="Arial" w:eastAsia="Arial" w:hAnsi="Arial"/>
          <w:b w:val="false"/>
          <w:bCs w:val="false"/>
          <w:i w:val="false"/>
          <w:iCs w:val="false"/>
          <w:color w:val="111827"/>
          <w:sz w:val="22"/>
          <w:szCs w:val="22"/>
        </w:rPr>
        <w:t xml:space="preserve">A single window above the P(abnormal) threshold is not enough to fire an alert — that would be flickery and false-alarm-prone. Motion-AI uses a 3-of-3 debounce: an alert fires only when P(abnormal) &gt; 0.5 for three consecutive windows, i.e. ~0.23 s of sustained evidence. This is implemented in scenarios.alert_frame().</w:t>
      </w:r>
    </w:p>
    <w:p>
      <w:pPr>
        <w:spacing w:after="60" w:before="60" w:line="300"/>
        <w:jc w:val="left"/>
      </w:pPr>
      <w:r>
        <w:rPr>
          <w:rFonts w:ascii="Arial" w:cs="Arial" w:eastAsia="Arial" w:hAnsi="Arial"/>
          <w:b w:val="false"/>
          <w:bCs w:val="false"/>
          <w:i w:val="false"/>
          <w:iCs w:val="false"/>
          <w:color w:val="111827"/>
          <w:sz w:val="22"/>
          <w:szCs w:val="22"/>
        </w:rPr>
        <w:t xml:space="preserve">On the synthetic test set this debounce produces a median detection lag of 150-300 ms between true pathology onset and the AI alert. By comparison, witnessed-stroke recognition by bystanders typically takes 30 seconds or more.</w:t>
      </w:r>
    </w:p>
    <w:p>
      <w:pPr>
        <w:pStyle w:val="Heading2"/>
        <w:spacing w:after="140" w:before="320"/>
      </w:pPr>
      <w:r>
        <w:rPr>
          <w:rFonts w:ascii="Arial" w:cs="Arial" w:eastAsia="Arial" w:hAnsi="Arial"/>
          <w:b/>
          <w:bCs/>
          <w:color w:val="1E3A8A"/>
          <w:sz w:val="28"/>
          <w:szCs w:val="28"/>
        </w:rPr>
        <w:t xml:space="preserve">11.3 Latency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BD5E1" w:sz="4"/>
              <w:left w:val="single" w:color="CBD5E1" w:sz="4"/>
              <w:bottom w:val="single" w:color="CBD5E1" w:sz="4"/>
              <w:right w:val="single" w:color="CBD5E1" w:sz="4"/>
            </w:tcBorders>
            <w:shd w:fill="D5E8F0" w:val="clear"/>
            <w:tcMar>
              <w:top w:type="dxa" w:w="80"/>
              <w:left w:type="dxa" w:w="120"/>
              <w:bottom w:type="dxa" w:w="80"/>
              <w:right w:type="dxa" w:w="120"/>
            </w:tcMar>
          </w:tcPr>
          <w:p>
            <w:r>
              <w:rPr>
                <w:rFonts w:ascii="Arial" w:cs="Arial" w:eastAsia="Arial" w:hAnsi="Arial"/>
                <w:b/>
                <w:bCs/>
                <w:color w:val="0F172A"/>
                <w:sz w:val="20"/>
                <w:szCs w:val="20"/>
              </w:rPr>
              <w:t xml:space="preserve">Step</w:t>
            </w:r>
          </w:p>
        </w:tc>
        <w:tc>
          <w:tcPr>
            <w:tcW w:type="dxa" w:w="5360"/>
            <w:tcBorders>
              <w:top w:val="single" w:color="CBD5E1" w:sz="4"/>
              <w:left w:val="single" w:color="CBD5E1" w:sz="4"/>
              <w:bottom w:val="single" w:color="CBD5E1" w:sz="4"/>
              <w:right w:val="single" w:color="CBD5E1" w:sz="4"/>
            </w:tcBorders>
            <w:shd w:fill="D5E8F0" w:val="clear"/>
            <w:tcMar>
              <w:top w:type="dxa" w:w="80"/>
              <w:left w:type="dxa" w:w="120"/>
              <w:bottom w:type="dxa" w:w="80"/>
              <w:right w:type="dxa" w:w="120"/>
            </w:tcMar>
          </w:tcPr>
          <w:p>
            <w:r>
              <w:rPr>
                <w:rFonts w:ascii="Arial" w:cs="Arial" w:eastAsia="Arial" w:hAnsi="Arial"/>
                <w:b/>
                <w:bCs/>
                <w:color w:val="0F172A"/>
                <w:sz w:val="20"/>
                <w:szCs w:val="20"/>
              </w:rPr>
              <w:t xml:space="preserve">Wall-time</w:t>
            </w:r>
          </w:p>
        </w:tc>
      </w:tr>
      <w:tr>
        <w:tc>
          <w:tcPr>
            <w:tcW w:type="dxa" w:w="4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Feature engineering (build_features)</w:t>
            </w:r>
          </w:p>
        </w:tc>
        <w:tc>
          <w:tcPr>
            <w:tcW w:type="dxa" w:w="5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&lt; 1 ms</w:t>
            </w:r>
          </w:p>
        </w:tc>
      </w:tr>
      <w:tr>
        <w:tc>
          <w:tcPr>
            <w:tcW w:type="dxa" w:w="4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Standard scaling (scaler.transform)</w:t>
            </w:r>
          </w:p>
        </w:tc>
        <w:tc>
          <w:tcPr>
            <w:tcW w:type="dxa" w:w="53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&lt; 1 ms</w:t>
            </w:r>
          </w:p>
        </w:tc>
      </w:tr>
      <w:tr>
        <w:tc>
          <w:tcPr>
            <w:tcW w:type="dxa" w:w="4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Binary inference (bin_model.predict)</w:t>
            </w:r>
          </w:p>
        </w:tc>
        <w:tc>
          <w:tcPr>
            <w:tcW w:type="dxa" w:w="5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~5-10 ms (CPU)</w:t>
            </w:r>
          </w:p>
        </w:tc>
      </w:tr>
      <w:tr>
        <w:tc>
          <w:tcPr>
            <w:tcW w:type="dxa" w:w="4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Multiclass inference</w:t>
            </w:r>
          </w:p>
        </w:tc>
        <w:tc>
          <w:tcPr>
            <w:tcW w:type="dxa" w:w="53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~5-10 ms (CPU)</w:t>
            </w:r>
          </w:p>
        </w:tc>
      </w:tr>
      <w:tr>
        <w:tc>
          <w:tcPr>
            <w:tcW w:type="dxa" w:w="4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Debounce check + alert</w:t>
            </w:r>
          </w:p>
        </w:tc>
        <w:tc>
          <w:tcPr>
            <w:tcW w:type="dxa" w:w="5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&lt; 0.1 ms</w:t>
            </w:r>
          </w:p>
        </w:tc>
      </w:tr>
      <w:tr>
        <w:tc>
          <w:tcPr>
            <w:tcW w:type="dxa" w:w="4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Total per-window pipeline</w:t>
            </w:r>
          </w:p>
        </w:tc>
        <w:tc>
          <w:tcPr>
            <w:tcW w:type="dxa" w:w="53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&lt; 25 ms on commodity CPU</w:t>
            </w:r>
          </w:p>
        </w:tc>
      </w:tr>
    </w:tbl>
    <w:p>
      <w:pPr>
        <w:pStyle w:val="Heading1"/>
        <w:pageBreakBefore/>
        <w:spacing w:after="200" w:before="480"/>
      </w:pPr>
      <w:r>
        <w:rPr>
          <w:rFonts w:ascii="Arial" w:cs="Arial" w:eastAsia="Arial" w:hAnsi="Arial"/>
          <w:b/>
          <w:bCs/>
          <w:color w:val="1E3A8A"/>
          <w:sz w:val="36"/>
          <w:szCs w:val="36"/>
        </w:rPr>
        <w:t xml:space="preserve">12. Clinical Interpretation Layers</w:t>
      </w:r>
    </w:p>
    <w:p>
      <w:pPr>
        <w:spacing w:after="60" w:before="60" w:line="300"/>
        <w:jc w:val="left"/>
      </w:pPr>
      <w:r>
        <w:rPr>
          <w:rFonts w:ascii="Arial" w:cs="Arial" w:eastAsia="Arial" w:hAnsi="Arial"/>
          <w:b w:val="false"/>
          <w:bCs w:val="false"/>
          <w:i w:val="false"/>
          <w:iCs w:val="false"/>
          <w:color w:val="111827"/>
          <w:sz w:val="22"/>
          <w:szCs w:val="22"/>
        </w:rPr>
        <w:t xml:space="preserve">Raw P(abnormal) is not directly clinically actionable. Motion-AI computes a battery of validated clinical metrics on every window and presents them in a colour-coded "report card" with normative flags. Implementation: scenarios.compute_clinical_metrics().</w:t>
      </w:r>
    </w:p>
    <w:p>
      <w:pPr>
        <w:pStyle w:val="Heading2"/>
        <w:spacing w:after="140" w:before="320"/>
      </w:pPr>
      <w:r>
        <w:rPr>
          <w:rFonts w:ascii="Arial" w:cs="Arial" w:eastAsia="Arial" w:hAnsi="Arial"/>
          <w:b/>
          <w:bCs/>
          <w:color w:val="1E3A8A"/>
          <w:sz w:val="28"/>
          <w:szCs w:val="28"/>
        </w:rPr>
        <w:t xml:space="preserve">12.1 Spatiotemporal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CBD5E1" w:sz="4"/>
              <w:left w:val="single" w:color="CBD5E1" w:sz="4"/>
              <w:bottom w:val="single" w:color="CBD5E1" w:sz="4"/>
              <w:right w:val="single" w:color="CBD5E1" w:sz="4"/>
            </w:tcBorders>
            <w:shd w:fill="D5E8F0" w:val="clear"/>
            <w:tcMar>
              <w:top w:type="dxa" w:w="80"/>
              <w:left w:type="dxa" w:w="120"/>
              <w:bottom w:type="dxa" w:w="80"/>
              <w:right w:type="dxa" w:w="120"/>
            </w:tcMar>
          </w:tcPr>
          <w:p>
            <w:r>
              <w:rPr>
                <w:rFonts w:ascii="Arial" w:cs="Arial" w:eastAsia="Arial" w:hAnsi="Arial"/>
                <w:b/>
                <w:bCs/>
                <w:color w:val="0F172A"/>
                <w:sz w:val="20"/>
                <w:szCs w:val="20"/>
              </w:rPr>
              <w:t xml:space="preserve">Metric</w:t>
            </w:r>
          </w:p>
        </w:tc>
        <w:tc>
          <w:tcPr>
            <w:tcW w:type="dxa" w:w="4560"/>
            <w:tcBorders>
              <w:top w:val="single" w:color="CBD5E1" w:sz="4"/>
              <w:left w:val="single" w:color="CBD5E1" w:sz="4"/>
              <w:bottom w:val="single" w:color="CBD5E1" w:sz="4"/>
              <w:right w:val="single" w:color="CBD5E1" w:sz="4"/>
            </w:tcBorders>
            <w:shd w:fill="D5E8F0" w:val="clear"/>
            <w:tcMar>
              <w:top w:type="dxa" w:w="80"/>
              <w:left w:type="dxa" w:w="120"/>
              <w:bottom w:type="dxa" w:w="80"/>
              <w:right w:type="dxa" w:w="120"/>
            </w:tcMar>
          </w:tcPr>
          <w:p>
            <w:r>
              <w:rPr>
                <w:rFonts w:ascii="Arial" w:cs="Arial" w:eastAsia="Arial" w:hAnsi="Arial"/>
                <w:b/>
                <w:bCs/>
                <w:color w:val="0F172A"/>
                <w:sz w:val="20"/>
                <w:szCs w:val="20"/>
              </w:rPr>
              <w:t xml:space="preserve">Computation</w:t>
            </w:r>
          </w:p>
        </w:tc>
        <w:tc>
          <w:tcPr>
            <w:tcW w:type="dxa" w:w="2400"/>
            <w:tcBorders>
              <w:top w:val="single" w:color="CBD5E1" w:sz="4"/>
              <w:left w:val="single" w:color="CBD5E1" w:sz="4"/>
              <w:bottom w:val="single" w:color="CBD5E1" w:sz="4"/>
              <w:right w:val="single" w:color="CBD5E1" w:sz="4"/>
            </w:tcBorders>
            <w:shd w:fill="D5E8F0" w:val="clear"/>
            <w:tcMar>
              <w:top w:type="dxa" w:w="80"/>
              <w:left w:type="dxa" w:w="120"/>
              <w:bottom w:type="dxa" w:w="80"/>
              <w:right w:type="dxa" w:w="120"/>
            </w:tcMar>
          </w:tcPr>
          <w:p>
            <w:r>
              <w:rPr>
                <w:rFonts w:ascii="Arial" w:cs="Arial" w:eastAsia="Arial" w:hAnsi="Arial"/>
                <w:b/>
                <w:bCs/>
                <w:color w:val="0F172A"/>
                <w:sz w:val="20"/>
                <w:szCs w:val="20"/>
              </w:rPr>
              <w:t xml:space="preserve">Healthy range</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Cadence (steps/min)</w:t>
            </w:r>
          </w:p>
        </w:tc>
        <w:tc>
          <w:tcPr>
            <w:tcW w:type="dxa" w:w="4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count of ankle-z peaks in window x 60 / window_duration</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100 - 130 (Bohannon 1997)</w:t>
            </w:r>
          </w:p>
        </w:tc>
      </w:tr>
      <w:tr>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Stride length (m)</w:t>
            </w:r>
          </w:p>
        </w:tc>
        <w:tc>
          <w:tcPr>
            <w:tcW w:type="dxa" w:w="4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from subject anthropometry (also recoverable from sensor data)</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1.20 - 1.60</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Walking speed (m/s)</w:t>
            </w:r>
          </w:p>
        </w:tc>
        <w:tc>
          <w:tcPr>
            <w:tcW w:type="dxa" w:w="4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(cadence/60) x stride / 2</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1.10 - 1.45</w:t>
            </w:r>
          </w:p>
        </w:tc>
      </w:tr>
    </w:tbl>
    <w:p>
      <w:pPr>
        <w:pStyle w:val="Heading2"/>
        <w:spacing w:after="140" w:before="320"/>
      </w:pPr>
      <w:r>
        <w:rPr>
          <w:rFonts w:ascii="Arial" w:cs="Arial" w:eastAsia="Arial" w:hAnsi="Arial"/>
          <w:b/>
          <w:bCs/>
          <w:color w:val="1E3A8A"/>
          <w:sz w:val="28"/>
          <w:szCs w:val="28"/>
        </w:rPr>
        <w:t xml:space="preserve">12.2 Robinson Symmetry Index (1987)</w:t>
      </w:r>
    </w:p>
    <w:p>
      <w:pPr>
        <w:spacing w:after="60" w:before="60" w:line="300"/>
        <w:jc w:val="left"/>
      </w:pPr>
      <w:r>
        <w:rPr>
          <w:rFonts w:ascii="Arial" w:cs="Arial" w:eastAsia="Arial" w:hAnsi="Arial"/>
          <w:b w:val="false"/>
          <w:bCs w:val="false"/>
          <w:i w:val="false"/>
          <w:iCs w:val="false"/>
          <w:color w:val="111827"/>
          <w:sz w:val="22"/>
          <w:szCs w:val="22"/>
        </w:rPr>
        <w:t xml:space="preserve">For any bilateral metric (arm range, leg range, foot clearance) the Symmetry Index is defined as:</w:t>
      </w:r>
    </w:p>
    <w:p>
      <w:pPr>
        <w:shd w:fill="F1F5F9" w:val="clear"/>
        <w:spacing w:after="80" w:before="80" w:line="260"/>
        <w:ind w:left="200" w:right="200"/>
      </w:pPr>
      <w:r>
        <w:rPr>
          <w:rFonts w:ascii="Courier New" w:cs="Courier New" w:eastAsia="Courier New" w:hAnsi="Courier New"/>
          <w:color w:val="0F172A"/>
          <w:sz w:val="18"/>
          <w:szCs w:val="18"/>
        </w:rPr>
        <w:t xml:space="preserve">SI = 100 * |L - R| / (0.5 * (L + R))    [%]</w:t>
      </w:r>
    </w:p>
    <w:p>
      <w:pPr>
        <w:spacing w:after="60" w:before="60" w:line="300"/>
        <w:jc w:val="left"/>
      </w:pPr>
      <w:r>
        <w:rPr>
          <w:rFonts w:ascii="Arial" w:cs="Arial" w:eastAsia="Arial" w:hAnsi="Arial"/>
          <w:b w:val="false"/>
          <w:bCs w:val="false"/>
          <w:i w:val="false"/>
          <w:iCs w:val="false"/>
          <w:color w:val="111827"/>
          <w:sz w:val="22"/>
          <w:szCs w:val="22"/>
        </w:rPr>
        <w:t xml:space="preserve">A healthy population has SI &lt; 5 % across all bilateral gait metrics. Motion-AI computes four SIs:</w:t>
      </w:r>
    </w:p>
    <w:p>
      <w:pPr>
        <w:pStyle w:val="ListParagraph"/>
        <w:numPr>
          <w:ilvl w:val="0"/>
          <w:numId w:val="2"/>
        </w:numPr>
        <w:spacing w:after="40" w:before="40" w:line="280"/>
      </w:pPr>
      <w:r>
        <w:rPr>
          <w:rFonts w:ascii="Arial" w:cs="Arial" w:eastAsia="Arial" w:hAnsi="Arial"/>
          <w:color w:val="111827"/>
          <w:sz w:val="22"/>
          <w:szCs w:val="22"/>
        </w:rPr>
        <w:t xml:space="preserve">Upper-extremity SI on arm range-of-motion</w:t>
      </w:r>
    </w:p>
    <w:p>
      <w:pPr>
        <w:pStyle w:val="ListParagraph"/>
        <w:numPr>
          <w:ilvl w:val="0"/>
          <w:numId w:val="2"/>
        </w:numPr>
        <w:spacing w:after="40" w:before="40" w:line="280"/>
      </w:pPr>
      <w:r>
        <w:rPr>
          <w:rFonts w:ascii="Arial" w:cs="Arial" w:eastAsia="Arial" w:hAnsi="Arial"/>
          <w:color w:val="111827"/>
          <w:sz w:val="22"/>
          <w:szCs w:val="22"/>
        </w:rPr>
        <w:t xml:space="preserve">Lower-extremity SI on leg range-of-motion</w:t>
      </w:r>
    </w:p>
    <w:p>
      <w:pPr>
        <w:pStyle w:val="ListParagraph"/>
        <w:numPr>
          <w:ilvl w:val="0"/>
          <w:numId w:val="2"/>
        </w:numPr>
        <w:spacing w:after="40" w:before="40" w:line="280"/>
      </w:pPr>
      <w:r>
        <w:rPr>
          <w:rFonts w:ascii="Arial" w:cs="Arial" w:eastAsia="Arial" w:hAnsi="Arial"/>
          <w:color w:val="111827"/>
          <w:sz w:val="22"/>
          <w:szCs w:val="22"/>
        </w:rPr>
        <w:t xml:space="preserve">Foot-clearance SI on peak ankle Z displacement</w:t>
      </w:r>
    </w:p>
    <w:p>
      <w:pPr>
        <w:pStyle w:val="ListParagraph"/>
        <w:numPr>
          <w:ilvl w:val="0"/>
          <w:numId w:val="2"/>
        </w:numPr>
        <w:spacing w:after="40" w:before="40" w:line="280"/>
      </w:pPr>
      <w:r>
        <w:rPr>
          <w:rFonts w:ascii="Arial" w:cs="Arial" w:eastAsia="Arial" w:hAnsi="Arial"/>
          <w:color w:val="111827"/>
          <w:sz w:val="22"/>
          <w:szCs w:val="22"/>
        </w:rPr>
        <w:t xml:space="preserve">Composite SI (mean of the three above)</w:t>
      </w:r>
    </w:p>
    <w:p>
      <w:pPr>
        <w:spacing w:after="60" w:before="60" w:line="300"/>
        <w:jc w:val="left"/>
      </w:pPr>
      <w:r>
        <w:rPr>
          <w:rFonts w:ascii="Arial" w:cs="Arial" w:eastAsia="Arial" w:hAnsi="Arial"/>
          <w:b w:val="false"/>
          <w:bCs w:val="false"/>
          <w:i w:val="false"/>
          <w:iCs w:val="false"/>
          <w:color w:val="111827"/>
          <w:sz w:val="22"/>
          <w:szCs w:val="22"/>
        </w:rPr>
        <w:t xml:space="preserve">Each is rendered with a green / amber / red flag against the &lt; 5 % / 5-15 % / &gt; 15 % bands.</w:t>
      </w:r>
    </w:p>
    <w:p>
      <w:pPr>
        <w:pStyle w:val="Heading2"/>
        <w:spacing w:after="140" w:before="320"/>
      </w:pPr>
      <w:r>
        <w:rPr>
          <w:rFonts w:ascii="Arial" w:cs="Arial" w:eastAsia="Arial" w:hAnsi="Arial"/>
          <w:b/>
          <w:bCs/>
          <w:color w:val="1E3A8A"/>
          <w:sz w:val="28"/>
          <w:szCs w:val="28"/>
        </w:rPr>
        <w:t xml:space="preserve">12.3 Range of motion</w:t>
      </w:r>
    </w:p>
    <w:p>
      <w:pPr>
        <w:spacing w:after="60" w:before="60" w:line="300"/>
        <w:jc w:val="left"/>
      </w:pPr>
      <w:r>
        <w:rPr>
          <w:rFonts w:ascii="Arial" w:cs="Arial" w:eastAsia="Arial" w:hAnsi="Arial"/>
          <w:b w:val="false"/>
          <w:bCs w:val="false"/>
          <w:i w:val="false"/>
          <w:iCs w:val="false"/>
          <w:color w:val="111827"/>
          <w:sz w:val="22"/>
          <w:szCs w:val="22"/>
        </w:rPr>
        <w:t xml:space="preserve">Side-by-side L vs R range-of-motion in meters for arm swing, leg swing, and foot clearance. Useful for clinicians to see where exactly the asymmetry lives.</w:t>
      </w:r>
    </w:p>
    <w:p>
      <w:pPr>
        <w:pStyle w:val="Heading2"/>
        <w:spacing w:after="140" w:before="320"/>
      </w:pPr>
      <w:r>
        <w:rPr>
          <w:rFonts w:ascii="Arial" w:cs="Arial" w:eastAsia="Arial" w:hAnsi="Arial"/>
          <w:b/>
          <w:bCs/>
          <w:color w:val="1E3A8A"/>
          <w:sz w:val="28"/>
          <w:szCs w:val="28"/>
        </w:rPr>
        <w:t xml:space="preserve">12.4 Post-onset metric windowing</w:t>
      </w:r>
    </w:p>
    <w:p>
      <w:pPr>
        <w:spacing w:after="60" w:before="60" w:line="300"/>
        <w:jc w:val="left"/>
      </w:pPr>
      <w:r>
        <w:rPr>
          <w:rFonts w:ascii="Arial" w:cs="Arial" w:eastAsia="Arial" w:hAnsi="Arial"/>
          <w:b w:val="false"/>
          <w:bCs w:val="false"/>
          <w:i w:val="false"/>
          <w:iCs w:val="false"/>
          <w:color w:val="111827"/>
          <w:sz w:val="22"/>
          <w:szCs w:val="22"/>
        </w:rPr>
        <w:t xml:space="preserve">For scenarios with a pathology onset partway through the recording, the report card computes metrics on the *trailing* ~3 seconds (last 40 frames). This guarantees the report reflects the current (post-ramp) gait state rather than averaging across a healthy prefix and a pathological suffix.</w:t>
      </w:r>
    </w:p>
    <w:p>
      <w:pPr>
        <w:pStyle w:val="Heading1"/>
        <w:pageBreakBefore/>
        <w:spacing w:after="200" w:before="480"/>
      </w:pPr>
      <w:r>
        <w:rPr>
          <w:rFonts w:ascii="Arial" w:cs="Arial" w:eastAsia="Arial" w:hAnsi="Arial"/>
          <w:b/>
          <w:bCs/>
          <w:color w:val="1E3A8A"/>
          <w:sz w:val="36"/>
          <w:szCs w:val="36"/>
        </w:rPr>
        <w:t xml:space="preserve">13. Innovative Features Beyond the Base Model</w:t>
      </w:r>
    </w:p>
    <w:p>
      <w:pPr>
        <w:pStyle w:val="Heading2"/>
        <w:spacing w:after="140" w:before="320"/>
      </w:pPr>
      <w:r>
        <w:rPr>
          <w:rFonts w:ascii="Arial" w:cs="Arial" w:eastAsia="Arial" w:hAnsi="Arial"/>
          <w:b/>
          <w:bCs/>
          <w:color w:val="1E3A8A"/>
          <w:sz w:val="28"/>
          <w:szCs w:val="28"/>
        </w:rPr>
        <w:t xml:space="preserve">13.1 Digital twin (counterfactual healthy gait)</w:t>
      </w:r>
    </w:p>
    <w:p>
      <w:pPr>
        <w:spacing w:after="60" w:before="60" w:line="300"/>
        <w:jc w:val="left"/>
      </w:pPr>
      <w:r>
        <w:rPr>
          <w:rFonts w:ascii="Arial" w:cs="Arial" w:eastAsia="Arial" w:hAnsi="Arial"/>
          <w:b w:val="false"/>
          <w:bCs w:val="false"/>
          <w:i w:val="false"/>
          <w:iCs w:val="false"/>
          <w:color w:val="111827"/>
          <w:sz w:val="22"/>
          <w:szCs w:val="22"/>
        </w:rPr>
        <w:t xml:space="preserve">For every patient simulation, a second simulation is run with the same subject_seed but profile="healthy" and no pathology. The two skeletons walk in parallel lanes in the visualizer — the patient on the right, the green "digital twin" on the left, both with identical anthropometrics and gait phase. The deviation between them *is* the deficit, and is immediately visible without needing to know what "normal" looks like in the abstract.</w:t>
      </w:r>
    </w:p>
    <w:p>
      <w:pPr>
        <w:spacing w:after="60" w:before="60" w:line="300"/>
        <w:jc w:val="left"/>
      </w:pPr>
      <w:r>
        <w:rPr>
          <w:rFonts w:ascii="Arial" w:cs="Arial" w:eastAsia="Arial" w:hAnsi="Arial"/>
          <w:b w:val="false"/>
          <w:bCs w:val="false"/>
          <w:i w:val="false"/>
          <w:iCs w:val="false"/>
          <w:color w:val="111827"/>
          <w:sz w:val="22"/>
          <w:szCs w:val="22"/>
        </w:rPr>
        <w:t xml:space="preserve">This is functionally a continuous, personalized counterfactual: for each patient we render what their *own* healthy gait would look like, not a population-mean stick figure.</w:t>
      </w:r>
    </w:p>
    <w:p>
      <w:pPr>
        <w:pStyle w:val="Heading2"/>
        <w:spacing w:after="140" w:before="320"/>
      </w:pPr>
      <w:r>
        <w:rPr>
          <w:rFonts w:ascii="Arial" w:cs="Arial" w:eastAsia="Arial" w:hAnsi="Arial"/>
          <w:b/>
          <w:bCs/>
          <w:color w:val="1E3A8A"/>
          <w:sz w:val="28"/>
          <w:szCs w:val="28"/>
        </w:rPr>
        <w:t xml:space="preserve">13.2 Gradient saliency (which sensor told you?)</w:t>
      </w:r>
    </w:p>
    <w:p>
      <w:pPr>
        <w:spacing w:after="60" w:before="60" w:line="300"/>
        <w:jc w:val="left"/>
      </w:pPr>
      <w:r>
        <w:rPr>
          <w:rFonts w:ascii="Arial" w:cs="Arial" w:eastAsia="Arial" w:hAnsi="Arial"/>
          <w:b w:val="false"/>
          <w:bCs w:val="false"/>
          <w:i w:val="false"/>
          <w:iCs w:val="false"/>
          <w:color w:val="111827"/>
          <w:sz w:val="22"/>
          <w:szCs w:val="22"/>
        </w:rPr>
        <w:t xml:space="preserve">When an alert fires, Motion-AI runs scenarios.compute_saliency() — a TensorFlow GradientTape pass that computes |dP(abn)/dx| for every scaled biomarker channel, then aggregates per-sensor importance from the channels that touch each sensor. The resulting four-element saliency vector drives a yellow pulsing glow ring around the limbs the model relied on, visible in the cinematic renderer. For hemi-L cases this consistently lights up the left wrist and left ankle, matching the ground-truth signature.</w:t>
      </w:r>
    </w:p>
    <w:p>
      <w:pPr>
        <w:pStyle w:val="Heading2"/>
        <w:spacing w:after="140" w:before="320"/>
      </w:pPr>
      <w:r>
        <w:rPr>
          <w:rFonts w:ascii="Arial" w:cs="Arial" w:eastAsia="Arial" w:hAnsi="Arial"/>
          <w:b/>
          <w:bCs/>
          <w:color w:val="1E3A8A"/>
          <w:sz w:val="28"/>
          <w:szCs w:val="28"/>
        </w:rPr>
        <w:t xml:space="preserve">13.3 k-nearest-neighbour cohort retrieval</w:t>
      </w:r>
    </w:p>
    <w:p>
      <w:pPr>
        <w:spacing w:after="60" w:before="60" w:line="300"/>
        <w:jc w:val="left"/>
      </w:pPr>
      <w:r>
        <w:rPr>
          <w:rFonts w:ascii="Arial" w:cs="Arial" w:eastAsia="Arial" w:hAnsi="Arial"/>
          <w:b w:val="false"/>
          <w:bCs w:val="false"/>
          <w:i w:val="false"/>
          <w:iCs w:val="false"/>
          <w:color w:val="111827"/>
          <w:sz w:val="22"/>
          <w:szCs w:val="22"/>
        </w:rPr>
        <w:t xml:space="preserve">The second-to-last Dense(32) layer of the binary head is a learned embedding of "gait pattern". Motion-AI builds a 300-element index of embeddings — one per scenario in the pre-generated cohort — and for every new query window retrieves the 5 nearest neighbours via L2 distance. These are rendered as a row of "most similar prior cases" cards with their profiles, severities, and similarity percentages.</w:t>
      </w:r>
    </w:p>
    <w:p>
      <w:pPr>
        <w:spacing w:after="60" w:before="60" w:line="300"/>
        <w:jc w:val="left"/>
      </w:pPr>
      <w:r>
        <w:rPr>
          <w:rFonts w:ascii="Arial" w:cs="Arial" w:eastAsia="Arial" w:hAnsi="Arial"/>
          <w:b w:val="false"/>
          <w:bCs w:val="false"/>
          <w:i w:val="false"/>
          <w:iCs w:val="false"/>
          <w:color w:val="111827"/>
          <w:sz w:val="22"/>
          <w:szCs w:val="22"/>
        </w:rPr>
        <w:t xml:space="preserve">This is the same principle as case-based reasoning in radiology / pathology CDSS: "patients whose signature looked like this were diagnosed as X with outcome Y". It also turns the model from a black box into an auditable one — clinicians can see which precedents the model considered most similar before making any therapeutic decision.</w:t>
      </w:r>
    </w:p>
    <w:p>
      <w:pPr>
        <w:pStyle w:val="Heading2"/>
        <w:spacing w:after="140" w:before="320"/>
      </w:pPr>
      <w:r>
        <w:rPr>
          <w:rFonts w:ascii="Arial" w:cs="Arial" w:eastAsia="Arial" w:hAnsi="Arial"/>
          <w:b/>
          <w:bCs/>
          <w:color w:val="1E3A8A"/>
          <w:sz w:val="28"/>
          <w:szCs w:val="28"/>
        </w:rPr>
        <w:t xml:space="preserve">13.4 Time-is-brain "neurons saved" accounting</w:t>
      </w:r>
    </w:p>
    <w:p>
      <w:pPr>
        <w:spacing w:after="60" w:before="60" w:line="300"/>
        <w:jc w:val="left"/>
      </w:pPr>
      <w:r>
        <w:rPr>
          <w:rFonts w:ascii="Arial" w:cs="Arial" w:eastAsia="Arial" w:hAnsi="Arial"/>
          <w:b w:val="false"/>
          <w:bCs w:val="false"/>
          <w:i w:val="false"/>
          <w:iCs w:val="false"/>
          <w:color w:val="111827"/>
          <w:sz w:val="22"/>
          <w:szCs w:val="22"/>
        </w:rPr>
        <w:t xml:space="preserve">From Saver JL, "Time is brain — quantified", Stroke 2006: untreated ischemic stroke destroys approximately 1.9 million neurons per minute, or ~32,000 neurons per second of delayed reperfusion. Motion-AI translates the AI detection lag (alert_frame - onset_frame, in seconds) into avoided neuronal loss against a 30 s bystander recognition baseline:</w:t>
      </w:r>
    </w:p>
    <w:p>
      <w:pPr>
        <w:shd w:fill="F1F5F9" w:val="clear"/>
        <w:spacing w:after="80" w:before="80" w:line="260"/>
        <w:ind w:left="200" w:right="200"/>
      </w:pPr>
      <w:r>
        <w:rPr>
          <w:rFonts w:ascii="Courier New" w:cs="Courier New" w:eastAsia="Courier New" w:hAnsi="Courier New"/>
          <w:color w:val="0F172A"/>
          <w:sz w:val="18"/>
          <w:szCs w:val="18"/>
        </w:rPr>
        <w:t xml:space="preserve">saved_neurons = max(0, 30 - detection_lag_s) * 32000</w:t>
      </w:r>
    </w:p>
    <w:p>
      <w:pPr>
        <w:spacing w:after="60" w:before="60" w:line="300"/>
        <w:jc w:val="left"/>
      </w:pPr>
      <w:r>
        <w:rPr>
          <w:rFonts w:ascii="Arial" w:cs="Arial" w:eastAsia="Arial" w:hAnsi="Arial"/>
          <w:b w:val="false"/>
          <w:bCs w:val="false"/>
          <w:i w:val="false"/>
          <w:iCs w:val="false"/>
          <w:color w:val="111827"/>
          <w:sz w:val="22"/>
          <w:szCs w:val="22"/>
        </w:rPr>
        <w:t xml:space="preserve">For typical scenarios with sub-second detection lag, this card displays ~940,000 neurons saved per alert — putting the AI latency advantage in terms a stroke neurologist actually cares about.</w:t>
      </w:r>
    </w:p>
    <w:p>
      <w:pPr>
        <w:pStyle w:val="Heading1"/>
        <w:pageBreakBefore/>
        <w:spacing w:after="200" w:before="480"/>
      </w:pPr>
      <w:r>
        <w:rPr>
          <w:rFonts w:ascii="Arial" w:cs="Arial" w:eastAsia="Arial" w:hAnsi="Arial"/>
          <w:b/>
          <w:bCs/>
          <w:color w:val="1E3A8A"/>
          <w:sz w:val="36"/>
          <w:szCs w:val="36"/>
        </w:rPr>
        <w:t xml:space="preserve">14. Visualization System — Cinematic Sagittal Renderer</w:t>
      </w:r>
    </w:p>
    <w:p>
      <w:pPr>
        <w:spacing w:after="60" w:before="60" w:line="300"/>
        <w:jc w:val="left"/>
      </w:pPr>
      <w:r>
        <w:rPr>
          <w:rFonts w:ascii="Arial" w:cs="Arial" w:eastAsia="Arial" w:hAnsi="Arial"/>
          <w:b w:val="false"/>
          <w:bCs w:val="false"/>
          <w:i w:val="false"/>
          <w:iCs w:val="false"/>
          <w:color w:val="111827"/>
          <w:sz w:val="22"/>
          <w:szCs w:val="22"/>
        </w:rPr>
        <w:t xml:space="preserve">After multiple iterations with Plotly 3-D scenes (which kept fighting subplot framing and camera mathematics), Motion-AI now renders the patient + digital twin as a 2-D sagittal-projection animation through matplotlib, saved as a looping animated GIF, embedded in the dashboard via st.image(). This is the standard clinical gait-analysis camera angle and gives full control over composition.</w:t>
      </w:r>
    </w:p>
    <w:p>
      <w:pPr>
        <w:pStyle w:val="Heading2"/>
        <w:spacing w:after="140" w:before="320"/>
      </w:pPr>
      <w:r>
        <w:rPr>
          <w:rFonts w:ascii="Arial" w:cs="Arial" w:eastAsia="Arial" w:hAnsi="Arial"/>
          <w:b/>
          <w:bCs/>
          <w:color w:val="1E3A8A"/>
          <w:sz w:val="28"/>
          <w:szCs w:val="28"/>
        </w:rPr>
        <w:t xml:space="preserve">14.1 Projection math</w:t>
      </w:r>
    </w:p>
    <w:p>
      <w:pPr>
        <w:spacing w:after="60" w:before="60" w:line="300"/>
        <w:jc w:val="left"/>
      </w:pPr>
      <w:r>
        <w:rPr>
          <w:rFonts w:ascii="Arial" w:cs="Arial" w:eastAsia="Arial" w:hAnsi="Arial"/>
          <w:b w:val="false"/>
          <w:bCs w:val="false"/>
          <w:i w:val="false"/>
          <w:iCs w:val="false"/>
          <w:color w:val="111827"/>
          <w:sz w:val="22"/>
          <w:szCs w:val="22"/>
        </w:rPr>
        <w:t xml:space="preserve">Each 3-D joint position (x, y, z) is projected to 2-D screen coordinates with a slight 3/4 view tilt for depth parallax:</w:t>
      </w:r>
    </w:p>
    <w:p>
      <w:pPr>
        <w:shd w:fill="F1F5F9" w:val="clear"/>
        <w:spacing w:after="80" w:before="80" w:line="260"/>
        <w:ind w:left="200" w:right="200"/>
      </w:pPr>
      <w:r>
        <w:rPr>
          <w:rFonts w:ascii="Courier New" w:cs="Courier New" w:eastAsia="Courier New" w:hAnsi="Courier New"/>
          <w:color w:val="0F172A"/>
          <w:sz w:val="18"/>
          <w:szCs w:val="18"/>
        </w:rPr>
        <w:t xml:space="preserve">screen_x = joint.y + x_offset + 0.25 * joint.x</w:t>
      </w:r>
    </w:p>
    <w:p>
      <w:pPr>
        <w:shd w:fill="F1F5F9" w:val="clear"/>
        <w:spacing w:after="80" w:before="80" w:line="260"/>
        <w:ind w:left="200" w:right="200"/>
      </w:pPr>
      <w:r>
        <w:rPr>
          <w:rFonts w:ascii="Courier New" w:cs="Courier New" w:eastAsia="Courier New" w:hAnsi="Courier New"/>
          <w:color w:val="0F172A"/>
          <w:sz w:val="18"/>
          <w:szCs w:val="18"/>
        </w:rPr>
        <w:t xml:space="preserve">screen_y = joint.z</w:t>
      </w:r>
    </w:p>
    <w:p>
      <w:pPr>
        <w:spacing w:after="60" w:before="60" w:line="300"/>
        <w:jc w:val="left"/>
      </w:pPr>
      <w:r>
        <w:rPr>
          <w:rFonts w:ascii="Arial" w:cs="Arial" w:eastAsia="Arial" w:hAnsi="Arial"/>
          <w:b w:val="false"/>
          <w:bCs w:val="false"/>
          <w:i w:val="false"/>
          <w:iCs w:val="false"/>
          <w:color w:val="111827"/>
          <w:sz w:val="22"/>
          <w:szCs w:val="22"/>
        </w:rPr>
        <w:t xml:space="preserve">The 0.25 lateral weight separates left- and right-side limbs visually so they do not overlap perfectly in the strict sagittal projection.</w:t>
      </w:r>
    </w:p>
    <w:p>
      <w:pPr>
        <w:pStyle w:val="Heading2"/>
        <w:spacing w:after="140" w:before="320"/>
      </w:pPr>
      <w:r>
        <w:rPr>
          <w:rFonts w:ascii="Arial" w:cs="Arial" w:eastAsia="Arial" w:hAnsi="Arial"/>
          <w:b/>
          <w:bCs/>
          <w:color w:val="1E3A8A"/>
          <w:sz w:val="28"/>
          <w:szCs w:val="28"/>
        </w:rPr>
        <w:t xml:space="preserve">14.2 Body geometry</w:t>
      </w:r>
    </w:p>
    <w:p>
      <w:pPr>
        <w:spacing w:after="60" w:before="60" w:line="300"/>
        <w:jc w:val="left"/>
      </w:pPr>
      <w:r>
        <w:rPr>
          <w:rFonts w:ascii="Arial" w:cs="Arial" w:eastAsia="Arial" w:hAnsi="Arial"/>
          <w:b w:val="false"/>
          <w:bCs w:val="false"/>
          <w:i w:val="false"/>
          <w:iCs w:val="false"/>
          <w:color w:val="111827"/>
          <w:sz w:val="22"/>
          <w:szCs w:val="22"/>
        </w:rPr>
        <w:t xml:space="preserve">Each humanoid body is composed of:</w:t>
      </w:r>
    </w:p>
    <w:p>
      <w:pPr>
        <w:pStyle w:val="ListParagraph"/>
        <w:numPr>
          <w:ilvl w:val="0"/>
          <w:numId w:val="2"/>
        </w:numPr>
        <w:spacing w:after="40" w:before="40" w:line="280"/>
      </w:pPr>
      <w:r>
        <w:rPr>
          <w:rFonts w:ascii="Arial" w:cs="Arial" w:eastAsia="Arial" w:hAnsi="Arial"/>
          <w:color w:val="111827"/>
          <w:sz w:val="22"/>
          <w:szCs w:val="22"/>
        </w:rPr>
        <w:t xml:space="preserve">Filled torso polygon between shoulders and hips</w:t>
      </w:r>
    </w:p>
    <w:p>
      <w:pPr>
        <w:pStyle w:val="ListParagraph"/>
        <w:numPr>
          <w:ilvl w:val="0"/>
          <w:numId w:val="2"/>
        </w:numPr>
        <w:spacing w:after="40" w:before="40" w:line="280"/>
      </w:pPr>
      <w:r>
        <w:rPr>
          <w:rFonts w:ascii="Arial" w:cs="Arial" w:eastAsia="Arial" w:hAnsi="Arial"/>
          <w:color w:val="111827"/>
          <w:sz w:val="22"/>
          <w:szCs w:val="22"/>
        </w:rPr>
        <w:t xml:space="preserve">Limb halo (16 px stroke, 30 % alpha) + crisp limb core (6 px stroke, full alpha) for every bone segment</w:t>
      </w:r>
    </w:p>
    <w:p>
      <w:pPr>
        <w:pStyle w:val="ListParagraph"/>
        <w:numPr>
          <w:ilvl w:val="0"/>
          <w:numId w:val="2"/>
        </w:numPr>
        <w:spacing w:after="40" w:before="40" w:line="280"/>
      </w:pPr>
      <w:r>
        <w:rPr>
          <w:rFonts w:ascii="Arial" w:cs="Arial" w:eastAsia="Arial" w:hAnsi="Arial"/>
          <w:color w:val="111827"/>
          <w:sz w:val="22"/>
          <w:szCs w:val="22"/>
        </w:rPr>
        <w:t xml:space="preserve">Joint balls at shoulders, elbows, hips, knees</w:t>
      </w:r>
    </w:p>
    <w:p>
      <w:pPr>
        <w:pStyle w:val="ListParagraph"/>
        <w:numPr>
          <w:ilvl w:val="0"/>
          <w:numId w:val="2"/>
        </w:numPr>
        <w:spacing w:after="40" w:before="40" w:line="280"/>
      </w:pPr>
      <w:r>
        <w:rPr>
          <w:rFonts w:ascii="Arial" w:cs="Arial" w:eastAsia="Arial" w:hAnsi="Arial"/>
          <w:color w:val="111827"/>
          <w:sz w:val="22"/>
          <w:szCs w:val="22"/>
        </w:rPr>
        <w:t xml:space="preserve">Hand circles at wrists; foot polygons at ankles</w:t>
      </w:r>
    </w:p>
    <w:p>
      <w:pPr>
        <w:pStyle w:val="ListParagraph"/>
        <w:numPr>
          <w:ilvl w:val="0"/>
          <w:numId w:val="2"/>
        </w:numPr>
        <w:spacing w:after="40" w:before="40" w:line="280"/>
      </w:pPr>
      <w:r>
        <w:rPr>
          <w:rFonts w:ascii="Arial" w:cs="Arial" w:eastAsia="Arial" w:hAnsi="Arial"/>
          <w:color w:val="111827"/>
          <w:sz w:val="22"/>
          <w:szCs w:val="22"/>
        </w:rPr>
        <w:t xml:space="preserve">Head: halo + body + white specular highlight (depth illusion)</w:t>
      </w:r>
    </w:p>
    <w:p>
      <w:pPr>
        <w:pStyle w:val="ListParagraph"/>
        <w:numPr>
          <w:ilvl w:val="0"/>
          <w:numId w:val="2"/>
        </w:numPr>
        <w:spacing w:after="40" w:before="40" w:line="280"/>
      </w:pPr>
      <w:r>
        <w:rPr>
          <w:rFonts w:ascii="Arial" w:cs="Arial" w:eastAsia="Arial" w:hAnsi="Arial"/>
          <w:color w:val="111827"/>
          <w:sz w:val="22"/>
          <w:szCs w:val="22"/>
        </w:rPr>
        <w:t xml:space="preserve">Soft three-layer elliptical floor shadow under each pelvis</w:t>
      </w:r>
    </w:p>
    <w:p>
      <w:pPr>
        <w:pStyle w:val="ListParagraph"/>
        <w:numPr>
          <w:ilvl w:val="0"/>
          <w:numId w:val="2"/>
        </w:numPr>
        <w:spacing w:after="40" w:before="40" w:line="280"/>
      </w:pPr>
      <w:r>
        <w:rPr>
          <w:rFonts w:ascii="Arial" w:cs="Arial" w:eastAsia="Arial" w:hAnsi="Arial"/>
          <w:color w:val="111827"/>
          <w:sz w:val="22"/>
          <w:szCs w:val="22"/>
        </w:rPr>
        <w:t xml:space="preserve">Floor reflection of every body, mirrored and 30 % opacity</w:t>
      </w:r>
    </w:p>
    <w:p>
      <w:pPr>
        <w:pStyle w:val="Heading2"/>
        <w:spacing w:after="140" w:before="320"/>
      </w:pPr>
      <w:r>
        <w:rPr>
          <w:rFonts w:ascii="Arial" w:cs="Arial" w:eastAsia="Arial" w:hAnsi="Arial"/>
          <w:b/>
          <w:bCs/>
          <w:color w:val="1E3A8A"/>
          <w:sz w:val="28"/>
          <w:szCs w:val="28"/>
        </w:rPr>
        <w:t xml:space="preserve">14.3 Procedural micromovements</w:t>
      </w:r>
    </w:p>
    <w:p>
      <w:pPr>
        <w:spacing w:after="60" w:before="60" w:line="300"/>
        <w:jc w:val="left"/>
      </w:pPr>
      <w:r>
        <w:rPr>
          <w:rFonts w:ascii="Arial" w:cs="Arial" w:eastAsia="Arial" w:hAnsi="Arial"/>
          <w:b w:val="false"/>
          <w:bCs w:val="false"/>
          <w:i w:val="false"/>
          <w:iCs w:val="false"/>
          <w:color w:val="111827"/>
          <w:sz w:val="22"/>
          <w:szCs w:val="22"/>
        </w:rPr>
        <w:t xml:space="preserve">On top of the IMU-driven kinematics, the renderer adds synthetic micro-motion synced to the gait cycle for realism:</w:t>
      </w:r>
    </w:p>
    <w:p>
      <w:pPr>
        <w:pStyle w:val="ListParagraph"/>
        <w:numPr>
          <w:ilvl w:val="0"/>
          <w:numId w:val="2"/>
        </w:numPr>
        <w:spacing w:after="40" w:before="40" w:line="280"/>
      </w:pPr>
      <w:r>
        <w:rPr>
          <w:rFonts w:ascii="Arial" w:cs="Arial" w:eastAsia="Arial" w:hAnsi="Arial"/>
          <w:color w:val="111827"/>
          <w:sz w:val="22"/>
          <w:szCs w:val="22"/>
        </w:rPr>
        <w:t xml:space="preserve">Head bob: 2.2 cm vertical bounce at 2x cadence (standard double-cadence head motion of human walking)</w:t>
      </w:r>
    </w:p>
    <w:p>
      <w:pPr>
        <w:pStyle w:val="ListParagraph"/>
        <w:numPr>
          <w:ilvl w:val="0"/>
          <w:numId w:val="2"/>
        </w:numPr>
        <w:spacing w:after="40" w:before="40" w:line="280"/>
      </w:pPr>
      <w:r>
        <w:rPr>
          <w:rFonts w:ascii="Arial" w:cs="Arial" w:eastAsia="Arial" w:hAnsi="Arial"/>
          <w:color w:val="111827"/>
          <w:sz w:val="22"/>
          <w:szCs w:val="22"/>
        </w:rPr>
        <w:t xml:space="preserve">Lateral hip sway: 1.5 cm side-to-side at 1x cadence</w:t>
      </w:r>
    </w:p>
    <w:p>
      <w:pPr>
        <w:pStyle w:val="ListParagraph"/>
        <w:numPr>
          <w:ilvl w:val="0"/>
          <w:numId w:val="2"/>
        </w:numPr>
        <w:spacing w:after="40" w:before="40" w:line="280"/>
      </w:pPr>
      <w:r>
        <w:rPr>
          <w:rFonts w:ascii="Arial" w:cs="Arial" w:eastAsia="Arial" w:hAnsi="Arial"/>
          <w:color w:val="111827"/>
          <w:sz w:val="22"/>
          <w:szCs w:val="22"/>
        </w:rPr>
        <w:t xml:space="preserve">Head nod (anterior-posterior): 1.2 cm pitch</w:t>
      </w:r>
    </w:p>
    <w:p>
      <w:pPr>
        <w:pStyle w:val="Heading2"/>
        <w:spacing w:after="140" w:before="320"/>
      </w:pPr>
      <w:r>
        <w:rPr>
          <w:rFonts w:ascii="Arial" w:cs="Arial" w:eastAsia="Arial" w:hAnsi="Arial"/>
          <w:b/>
          <w:bCs/>
          <w:color w:val="1E3A8A"/>
          <w:sz w:val="28"/>
          <w:szCs w:val="28"/>
        </w:rPr>
        <w:t xml:space="preserve">14.4 Cinematic staging</w:t>
      </w:r>
    </w:p>
    <w:p>
      <w:pPr>
        <w:pStyle w:val="ListParagraph"/>
        <w:numPr>
          <w:ilvl w:val="0"/>
          <w:numId w:val="2"/>
        </w:numPr>
        <w:spacing w:after="40" w:before="40" w:line="280"/>
      </w:pPr>
      <w:r>
        <w:rPr>
          <w:rFonts w:ascii="Arial" w:cs="Arial" w:eastAsia="Arial" w:hAnsi="Arial"/>
          <w:color w:val="111827"/>
          <w:sz w:val="22"/>
          <w:szCs w:val="22"/>
        </w:rPr>
        <w:t xml:space="preserve">Deep-blue vertical gradient backdrop</w:t>
      </w:r>
    </w:p>
    <w:p>
      <w:pPr>
        <w:pStyle w:val="ListParagraph"/>
        <w:numPr>
          <w:ilvl w:val="0"/>
          <w:numId w:val="2"/>
        </w:numPr>
        <w:spacing w:after="40" w:before="40" w:line="280"/>
      </w:pPr>
      <w:r>
        <w:rPr>
          <w:rFonts w:ascii="Arial" w:cs="Arial" w:eastAsia="Arial" w:hAnsi="Arial"/>
          <w:color w:val="111827"/>
          <w:sz w:val="22"/>
          <w:szCs w:val="22"/>
        </w:rPr>
        <w:t xml:space="preserve">Soft radial spotlight pools on the floor under each body (green for twin, crimson for patient)</w:t>
      </w:r>
    </w:p>
    <w:p>
      <w:pPr>
        <w:pStyle w:val="ListParagraph"/>
        <w:numPr>
          <w:ilvl w:val="0"/>
          <w:numId w:val="2"/>
        </w:numPr>
        <w:spacing w:after="40" w:before="40" w:line="280"/>
      </w:pPr>
      <w:r>
        <w:rPr>
          <w:rFonts w:ascii="Arial" w:cs="Arial" w:eastAsia="Arial" w:hAnsi="Arial"/>
          <w:color w:val="111827"/>
          <w:sz w:val="22"/>
          <w:szCs w:val="22"/>
        </w:rPr>
        <w:t xml:space="preserve">Yellow dashed centre lane divider with meter ticks</w:t>
      </w:r>
    </w:p>
    <w:p>
      <w:pPr>
        <w:pStyle w:val="ListParagraph"/>
        <w:numPr>
          <w:ilvl w:val="0"/>
          <w:numId w:val="2"/>
        </w:numPr>
        <w:spacing w:after="40" w:before="40" w:line="280"/>
      </w:pPr>
      <w:r>
        <w:rPr>
          <w:rFonts w:ascii="Arial" w:cs="Arial" w:eastAsia="Arial" w:hAnsi="Arial"/>
          <w:color w:val="111827"/>
          <w:sz w:val="22"/>
          <w:szCs w:val="22"/>
        </w:rPr>
        <w:t xml:space="preserve">Alert flashing banner across the top once the AI fires</w:t>
      </w:r>
    </w:p>
    <w:p>
      <w:pPr>
        <w:pStyle w:val="ListParagraph"/>
        <w:numPr>
          <w:ilvl w:val="0"/>
          <w:numId w:val="2"/>
        </w:numPr>
        <w:spacing w:after="40" w:before="40" w:line="280"/>
      </w:pPr>
      <w:r>
        <w:rPr>
          <w:rFonts w:ascii="Arial" w:cs="Arial" w:eastAsia="Arial" w:hAnsi="Arial"/>
          <w:color w:val="111827"/>
          <w:sz w:val="22"/>
          <w:szCs w:val="22"/>
        </w:rPr>
        <w:t xml:space="preserve">Frame counter + timestamp overlay</w:t>
      </w:r>
    </w:p>
    <w:p>
      <w:pPr>
        <w:pStyle w:val="Heading2"/>
        <w:spacing w:after="140" w:before="320"/>
      </w:pPr>
      <w:r>
        <w:rPr>
          <w:rFonts w:ascii="Arial" w:cs="Arial" w:eastAsia="Arial" w:hAnsi="Arial"/>
          <w:b/>
          <w:bCs/>
          <w:color w:val="1E3A8A"/>
          <w:sz w:val="28"/>
          <w:szCs w:val="28"/>
        </w:rPr>
        <w:t xml:space="preserve">14.5 Caching</w:t>
      </w:r>
    </w:p>
    <w:p>
      <w:pPr>
        <w:spacing w:after="60" w:before="60" w:line="300"/>
        <w:jc w:val="left"/>
      </w:pPr>
      <w:r>
        <w:rPr>
          <w:rFonts w:ascii="Arial" w:cs="Arial" w:eastAsia="Arial" w:hAnsi="Arial"/>
          <w:b w:val="false"/>
          <w:bCs w:val="false"/>
          <w:i w:val="false"/>
          <w:iCs w:val="false"/>
          <w:color w:val="111827"/>
          <w:sz w:val="22"/>
          <w:szCs w:val="22"/>
        </w:rPr>
        <w:t xml:space="preserve">The full GIF is cached via Streamlit @st.cache_data keyed on a hash of the raw IMU stream + alert frame + saliency vector + fps. First render takes ~15-20 seconds; subsequent reloads of the same scenario are instant.</w:t>
      </w:r>
    </w:p>
    <w:p>
      <w:pPr>
        <w:pStyle w:val="Heading1"/>
        <w:pageBreakBefore/>
        <w:spacing w:after="200" w:before="480"/>
      </w:pPr>
      <w:r>
        <w:rPr>
          <w:rFonts w:ascii="Arial" w:cs="Arial" w:eastAsia="Arial" w:hAnsi="Arial"/>
          <w:b/>
          <w:bCs/>
          <w:color w:val="1E3A8A"/>
          <w:sz w:val="36"/>
          <w:szCs w:val="36"/>
        </w:rPr>
        <w:t xml:space="preserve">15. The "Test the AI" Subsystem</w:t>
      </w:r>
    </w:p>
    <w:p>
      <w:pPr>
        <w:spacing w:after="60" w:before="60" w:line="300"/>
        <w:jc w:val="left"/>
      </w:pPr>
      <w:r>
        <w:rPr>
          <w:rFonts w:ascii="Arial" w:cs="Arial" w:eastAsia="Arial" w:hAnsi="Arial"/>
          <w:b w:val="false"/>
          <w:bCs w:val="false"/>
          <w:i w:val="false"/>
          <w:iCs w:val="false"/>
          <w:color w:val="111827"/>
          <w:sz w:val="22"/>
          <w:szCs w:val="22"/>
        </w:rPr>
        <w:t xml:space="preserve">A dedicated tab provides three ways to probe the model directly, beyond the canned 300-scenario gallery.</w:t>
      </w:r>
    </w:p>
    <w:p>
      <w:pPr>
        <w:pStyle w:val="Heading2"/>
        <w:spacing w:after="140" w:before="320"/>
      </w:pPr>
      <w:r>
        <w:rPr>
          <w:rFonts w:ascii="Arial" w:cs="Arial" w:eastAsia="Arial" w:hAnsi="Arial"/>
          <w:b/>
          <w:bCs/>
          <w:color w:val="1E3A8A"/>
          <w:sz w:val="28"/>
          <w:szCs w:val="28"/>
        </w:rPr>
        <w:t xml:space="preserve">15.1 Sandbox — hand-crafted deficits</w:t>
      </w:r>
    </w:p>
    <w:p>
      <w:pPr>
        <w:spacing w:after="60" w:before="60" w:line="300"/>
        <w:jc w:val="left"/>
      </w:pPr>
      <w:r>
        <w:rPr>
          <w:rFonts w:ascii="Arial" w:cs="Arial" w:eastAsia="Arial" w:hAnsi="Arial"/>
          <w:b w:val="false"/>
          <w:bCs w:val="false"/>
          <w:i w:val="false"/>
          <w:iCs w:val="false"/>
          <w:color w:val="111827"/>
          <w:sz w:val="22"/>
          <w:szCs w:val="22"/>
        </w:rPr>
        <w:t xml:space="preserve">Ten live sliders drive scenarios.simulate_custom() to construct an IMU stream from independent biomechanical parameters:</w:t>
      </w:r>
    </w:p>
    <w:p>
      <w:pPr>
        <w:pStyle w:val="ListParagraph"/>
        <w:numPr>
          <w:ilvl w:val="0"/>
          <w:numId w:val="2"/>
        </w:numPr>
        <w:spacing w:after="40" w:before="40" w:line="280"/>
      </w:pPr>
      <w:r>
        <w:rPr>
          <w:rFonts w:ascii="Arial" w:cs="Arial" w:eastAsia="Arial" w:hAnsi="Arial"/>
          <w:color w:val="111827"/>
          <w:sz w:val="22"/>
          <w:szCs w:val="22"/>
        </w:rPr>
        <w:t xml:space="preserve">Left / right arm swing (m)</w:t>
      </w:r>
    </w:p>
    <w:p>
      <w:pPr>
        <w:pStyle w:val="ListParagraph"/>
        <w:numPr>
          <w:ilvl w:val="0"/>
          <w:numId w:val="2"/>
        </w:numPr>
        <w:spacing w:after="40" w:before="40" w:line="280"/>
      </w:pPr>
      <w:r>
        <w:rPr>
          <w:rFonts w:ascii="Arial" w:cs="Arial" w:eastAsia="Arial" w:hAnsi="Arial"/>
          <w:color w:val="111827"/>
          <w:sz w:val="22"/>
          <w:szCs w:val="22"/>
        </w:rPr>
        <w:t xml:space="preserve">Left / right leg swing (m)</w:t>
      </w:r>
    </w:p>
    <w:p>
      <w:pPr>
        <w:pStyle w:val="ListParagraph"/>
        <w:numPr>
          <w:ilvl w:val="0"/>
          <w:numId w:val="2"/>
        </w:numPr>
        <w:spacing w:after="40" w:before="40" w:line="280"/>
      </w:pPr>
      <w:r>
        <w:rPr>
          <w:rFonts w:ascii="Arial" w:cs="Arial" w:eastAsia="Arial" w:hAnsi="Arial"/>
          <w:color w:val="111827"/>
          <w:sz w:val="22"/>
          <w:szCs w:val="22"/>
        </w:rPr>
        <w:t xml:space="preserve">Left / right foot clearance (m)</w:t>
      </w:r>
    </w:p>
    <w:p>
      <w:pPr>
        <w:pStyle w:val="ListParagraph"/>
        <w:numPr>
          <w:ilvl w:val="0"/>
          <w:numId w:val="2"/>
        </w:numPr>
        <w:spacing w:after="40" w:before="40" w:line="280"/>
      </w:pPr>
      <w:r>
        <w:rPr>
          <w:rFonts w:ascii="Arial" w:cs="Arial" w:eastAsia="Arial" w:hAnsi="Arial"/>
          <w:color w:val="111827"/>
          <w:sz w:val="22"/>
          <w:szCs w:val="22"/>
        </w:rPr>
        <w:t xml:space="preserve">Tremor amplitude (m)</w:t>
      </w:r>
    </w:p>
    <w:p>
      <w:pPr>
        <w:pStyle w:val="ListParagraph"/>
        <w:numPr>
          <w:ilvl w:val="0"/>
          <w:numId w:val="2"/>
        </w:numPr>
        <w:spacing w:after="40" w:before="40" w:line="280"/>
      </w:pPr>
      <w:r>
        <w:rPr>
          <w:rFonts w:ascii="Arial" w:cs="Arial" w:eastAsia="Arial" w:hAnsi="Arial"/>
          <w:color w:val="111827"/>
          <w:sz w:val="22"/>
          <w:szCs w:val="22"/>
        </w:rPr>
        <w:t xml:space="preserve">Lateral jitter sigma (m)</w:t>
      </w:r>
    </w:p>
    <w:p>
      <w:pPr>
        <w:pStyle w:val="ListParagraph"/>
        <w:numPr>
          <w:ilvl w:val="0"/>
          <w:numId w:val="2"/>
        </w:numPr>
        <w:spacing w:after="40" w:before="40" w:line="280"/>
      </w:pPr>
      <w:r>
        <w:rPr>
          <w:rFonts w:ascii="Arial" w:cs="Arial" w:eastAsia="Arial" w:hAnsi="Arial"/>
          <w:color w:val="111827"/>
          <w:sz w:val="22"/>
          <w:szCs w:val="22"/>
        </w:rPr>
        <w:t xml:space="preserve">Cadence (Hz)</w:t>
      </w:r>
    </w:p>
    <w:p>
      <w:pPr>
        <w:pStyle w:val="ListParagraph"/>
        <w:numPr>
          <w:ilvl w:val="0"/>
          <w:numId w:val="2"/>
        </w:numPr>
        <w:spacing w:after="40" w:before="40" w:line="280"/>
      </w:pPr>
      <w:r>
        <w:rPr>
          <w:rFonts w:ascii="Arial" w:cs="Arial" w:eastAsia="Arial" w:hAnsi="Arial"/>
          <w:color w:val="111827"/>
          <w:sz w:val="22"/>
          <w:szCs w:val="22"/>
        </w:rPr>
        <w:t xml:space="preserve">IMU noise sigma (m)</w:t>
      </w:r>
    </w:p>
    <w:p>
      <w:pPr>
        <w:spacing w:after="60" w:before="60" w:line="300"/>
        <w:jc w:val="left"/>
      </w:pPr>
      <w:r>
        <w:rPr>
          <w:rFonts w:ascii="Arial" w:cs="Arial" w:eastAsia="Arial" w:hAnsi="Arial"/>
          <w:b w:val="false"/>
          <w:bCs w:val="false"/>
          <w:i w:val="false"/>
          <w:iCs w:val="false"/>
          <w:color w:val="111827"/>
          <w:sz w:val="22"/>
          <w:szCs w:val="22"/>
        </w:rPr>
        <w:t xml:space="preserve">The AI verdict + 6-class differential + a mini-skeleton snapshot update instantly as the user drags sliders. Useful for finding exact decision boundaries — e.g. the model fires reliably when left arm swing drops below ~0.10 m.</w:t>
      </w:r>
    </w:p>
    <w:p>
      <w:pPr>
        <w:pStyle w:val="Heading2"/>
        <w:spacing w:after="140" w:before="320"/>
      </w:pPr>
      <w:r>
        <w:rPr>
          <w:rFonts w:ascii="Arial" w:cs="Arial" w:eastAsia="Arial" w:hAnsi="Arial"/>
          <w:b/>
          <w:bCs/>
          <w:color w:val="1E3A8A"/>
          <w:sz w:val="28"/>
          <w:szCs w:val="28"/>
        </w:rPr>
        <w:t xml:space="preserve">15.2 Pathology sweep</w:t>
      </w:r>
    </w:p>
    <w:p>
      <w:pPr>
        <w:spacing w:after="60" w:before="60" w:line="300"/>
        <w:jc w:val="left"/>
      </w:pPr>
      <w:r>
        <w:rPr>
          <w:rFonts w:ascii="Arial" w:cs="Arial" w:eastAsia="Arial" w:hAnsi="Arial"/>
          <w:b w:val="false"/>
          <w:bCs w:val="false"/>
          <w:i w:val="false"/>
          <w:iCs w:val="false"/>
          <w:color w:val="111827"/>
          <w:sz w:val="22"/>
          <w:szCs w:val="22"/>
        </w:rPr>
        <w:t xml:space="preserve">A 6 x 5 grid (six profiles, five severities each) runs the binary model on 30 freshly simulated windows, averages over 5 random seeds per cell, and renders a heatmap of P(abnormal). A well-calibrated model produces a clean diagonal: near 0 for healthy / severity 0, smoothly rising with severity, saturating at 1 for severe pathology.</w:t>
      </w:r>
    </w:p>
    <w:p>
      <w:pPr>
        <w:pStyle w:val="Heading2"/>
        <w:spacing w:after="140" w:before="320"/>
      </w:pPr>
      <w:r>
        <w:rPr>
          <w:rFonts w:ascii="Arial" w:cs="Arial" w:eastAsia="Arial" w:hAnsi="Arial"/>
          <w:b/>
          <w:bCs/>
          <w:color w:val="1E3A8A"/>
          <w:sz w:val="28"/>
          <w:szCs w:val="28"/>
        </w:rPr>
        <w:t xml:space="preserve">15.3 Cohort benchmark</w:t>
      </w:r>
    </w:p>
    <w:p>
      <w:pPr>
        <w:spacing w:after="60" w:before="60" w:line="300"/>
        <w:jc w:val="left"/>
      </w:pPr>
      <w:r>
        <w:rPr>
          <w:rFonts w:ascii="Arial" w:cs="Arial" w:eastAsia="Arial" w:hAnsi="Arial"/>
          <w:b w:val="false"/>
          <w:bCs w:val="false"/>
          <w:i w:val="false"/>
          <w:iCs w:val="false"/>
          <w:color w:val="111827"/>
          <w:sz w:val="22"/>
          <w:szCs w:val="22"/>
        </w:rPr>
        <w:t xml:space="preserve">Runs the AI on all 300 procedurally generated scenarios and reports clinical-screening metrics:</w:t>
      </w:r>
    </w:p>
    <w:p>
      <w:pPr>
        <w:pStyle w:val="ListParagraph"/>
        <w:numPr>
          <w:ilvl w:val="0"/>
          <w:numId w:val="2"/>
        </w:numPr>
        <w:spacing w:after="40" w:before="40" w:line="280"/>
      </w:pPr>
      <w:r>
        <w:rPr>
          <w:rFonts w:ascii="Arial" w:cs="Arial" w:eastAsia="Arial" w:hAnsi="Arial"/>
          <w:color w:val="111827"/>
          <w:sz w:val="22"/>
          <w:szCs w:val="22"/>
        </w:rPr>
        <w:t xml:space="preserve">Sensitivity (true-positive rate on abnormal scenarios)</w:t>
      </w:r>
    </w:p>
    <w:p>
      <w:pPr>
        <w:pStyle w:val="ListParagraph"/>
        <w:numPr>
          <w:ilvl w:val="0"/>
          <w:numId w:val="2"/>
        </w:numPr>
        <w:spacing w:after="40" w:before="40" w:line="280"/>
      </w:pPr>
      <w:r>
        <w:rPr>
          <w:rFonts w:ascii="Arial" w:cs="Arial" w:eastAsia="Arial" w:hAnsi="Arial"/>
          <w:color w:val="111827"/>
          <w:sz w:val="22"/>
          <w:szCs w:val="22"/>
        </w:rPr>
        <w:t xml:space="preserve">Specificity (true-negative rate on healthy scenarios)</w:t>
      </w:r>
    </w:p>
    <w:p>
      <w:pPr>
        <w:pStyle w:val="ListParagraph"/>
        <w:numPr>
          <w:ilvl w:val="0"/>
          <w:numId w:val="2"/>
        </w:numPr>
        <w:spacing w:after="40" w:before="40" w:line="280"/>
      </w:pPr>
      <w:r>
        <w:rPr>
          <w:rFonts w:ascii="Arial" w:cs="Arial" w:eastAsia="Arial" w:hAnsi="Arial"/>
          <w:color w:val="111827"/>
          <w:sz w:val="22"/>
          <w:szCs w:val="22"/>
        </w:rPr>
        <w:t xml:space="preserve">Multiclass accuracy + full 6 x 6 confusion matrix</w:t>
      </w:r>
    </w:p>
    <w:p>
      <w:pPr>
        <w:pStyle w:val="ListParagraph"/>
        <w:numPr>
          <w:ilvl w:val="0"/>
          <w:numId w:val="2"/>
        </w:numPr>
        <w:spacing w:after="40" w:before="40" w:line="280"/>
      </w:pPr>
      <w:r>
        <w:rPr>
          <w:rFonts w:ascii="Arial" w:cs="Arial" w:eastAsia="Arial" w:hAnsi="Arial"/>
          <w:color w:val="111827"/>
          <w:sz w:val="22"/>
          <w:szCs w:val="22"/>
        </w:rPr>
        <w:t xml:space="preserve">Median detection lag in milliseconds + full detection-lag histogram</w:t>
      </w:r>
    </w:p>
    <w:p>
      <w:pPr>
        <w:spacing w:after="60" w:before="60" w:line="300"/>
        <w:jc w:val="left"/>
      </w:pPr>
      <w:r>
        <w:rPr>
          <w:rFonts w:ascii="Arial" w:cs="Arial" w:eastAsia="Arial" w:hAnsi="Arial"/>
          <w:b w:val="false"/>
          <w:bCs w:val="false"/>
          <w:i w:val="false"/>
          <w:iCs w:val="false"/>
          <w:color w:val="111827"/>
          <w:sz w:val="22"/>
          <w:szCs w:val="22"/>
        </w:rPr>
        <w:t xml:space="preserve">All three views are cached, so the heavy run-through happens once per dashboard session.</w:t>
      </w:r>
    </w:p>
    <w:p>
      <w:pPr>
        <w:pStyle w:val="Heading1"/>
        <w:pageBreakBefore/>
        <w:spacing w:after="200" w:before="480"/>
      </w:pPr>
      <w:r>
        <w:rPr>
          <w:rFonts w:ascii="Arial" w:cs="Arial" w:eastAsia="Arial" w:hAnsi="Arial"/>
          <w:b/>
          <w:bCs/>
          <w:color w:val="1E3A8A"/>
          <w:sz w:val="36"/>
          <w:szCs w:val="36"/>
        </w:rPr>
        <w:t xml:space="preserve">16. Dashboard Walkthrough</w:t>
      </w:r>
    </w:p>
    <w:p>
      <w:pPr>
        <w:spacing w:after="60" w:before="60" w:line="300"/>
        <w:jc w:val="left"/>
      </w:pPr>
      <w:r>
        <w:rPr>
          <w:rFonts w:ascii="Arial" w:cs="Arial" w:eastAsia="Arial" w:hAnsi="Arial"/>
          <w:b w:val="false"/>
          <w:bCs w:val="false"/>
          <w:i w:val="false"/>
          <w:iCs w:val="false"/>
          <w:color w:val="111827"/>
          <w:sz w:val="22"/>
          <w:szCs w:val="22"/>
        </w:rPr>
        <w:t xml:space="preserve">The dashboard is a Streamlit single-page application with five tabs. Launched via:</w:t>
      </w:r>
    </w:p>
    <w:p>
      <w:pPr>
        <w:shd w:fill="F1F5F9" w:val="clear"/>
        <w:spacing w:after="80" w:before="80" w:line="260"/>
        <w:ind w:left="200" w:right="200"/>
      </w:pPr>
      <w:r>
        <w:rPr>
          <w:rFonts w:ascii="Courier New" w:cs="Courier New" w:eastAsia="Courier New" w:hAnsi="Courier New"/>
          <w:color w:val="0F172A"/>
          <w:sz w:val="18"/>
          <w:szCs w:val="18"/>
        </w:rPr>
        <w:t xml:space="preserve">streamlit run app2.py</w:t>
      </w:r>
    </w:p>
    <w:p>
      <w:pPr>
        <w:pStyle w:val="Heading2"/>
        <w:spacing w:after="140" w:before="320"/>
      </w:pPr>
      <w:r>
        <w:rPr>
          <w:rFonts w:ascii="Arial" w:cs="Arial" w:eastAsia="Arial" w:hAnsi="Arial"/>
          <w:b/>
          <w:bCs/>
          <w:color w:val="1E3A8A"/>
          <w:sz w:val="28"/>
          <w:szCs w:val="28"/>
        </w:rPr>
        <w:t xml:space="preserve">16.1 Tab: Diagnosis</w:t>
      </w:r>
    </w:p>
    <w:p>
      <w:pPr>
        <w:spacing w:after="60" w:before="60" w:line="300"/>
        <w:jc w:val="left"/>
      </w:pPr>
      <w:r>
        <w:rPr>
          <w:rFonts w:ascii="Arial" w:cs="Arial" w:eastAsia="Arial" w:hAnsi="Arial"/>
          <w:b w:val="false"/>
          <w:bCs w:val="false"/>
          <w:i w:val="false"/>
          <w:iCs w:val="false"/>
          <w:color w:val="111827"/>
          <w:sz w:val="22"/>
          <w:szCs w:val="22"/>
        </w:rPr>
        <w:t xml:space="preserve">Sidebar controls let the user choose a patient profile and severity. The main pane renders the cinematic GIF of patient + healthy digital twin walking side by side; the AI verdict, 6-class differential bar chart, and clinical report card appear on the right; the 24-channel input heatmap appears below.</w:t>
      </w:r>
    </w:p>
    <w:p>
      <w:pPr>
        <w:pStyle w:val="Heading2"/>
        <w:spacing w:after="140" w:before="320"/>
      </w:pPr>
      <w:r>
        <w:rPr>
          <w:rFonts w:ascii="Arial" w:cs="Arial" w:eastAsia="Arial" w:hAnsi="Arial"/>
          <w:b/>
          <w:bCs/>
          <w:color w:val="1E3A8A"/>
          <w:sz w:val="28"/>
          <w:szCs w:val="28"/>
        </w:rPr>
        <w:t xml:space="preserve">16.2 Tab: Biomarkers</w:t>
      </w:r>
    </w:p>
    <w:p>
      <w:pPr>
        <w:spacing w:after="60" w:before="60" w:line="300"/>
        <w:jc w:val="left"/>
      </w:pPr>
      <w:r>
        <w:rPr>
          <w:rFonts w:ascii="Arial" w:cs="Arial" w:eastAsia="Arial" w:hAnsi="Arial"/>
          <w:b w:val="false"/>
          <w:bCs w:val="false"/>
          <w:i w:val="false"/>
          <w:iCs w:val="false"/>
          <w:color w:val="111827"/>
          <w:sz w:val="22"/>
          <w:szCs w:val="22"/>
        </w:rPr>
        <w:t xml:space="preserve">Detailed view of the 1.5-second window the model just scored: per-sensor centered magnitudes over time, and the scaled 24-channel input heatmap shown frame-by-frame.</w:t>
      </w:r>
    </w:p>
    <w:p>
      <w:pPr>
        <w:pStyle w:val="Heading2"/>
        <w:spacing w:after="140" w:before="320"/>
      </w:pPr>
      <w:r>
        <w:rPr>
          <w:rFonts w:ascii="Arial" w:cs="Arial" w:eastAsia="Arial" w:hAnsi="Arial"/>
          <w:b/>
          <w:bCs/>
          <w:color w:val="1E3A8A"/>
          <w:sz w:val="28"/>
          <w:szCs w:val="28"/>
        </w:rPr>
        <w:t xml:space="preserve">16.3 Tab: Clinical scenarios (300)</w:t>
      </w:r>
    </w:p>
    <w:p>
      <w:pPr>
        <w:spacing w:after="60" w:before="60" w:line="300"/>
        <w:jc w:val="left"/>
      </w:pPr>
      <w:r>
        <w:rPr>
          <w:rFonts w:ascii="Arial" w:cs="Arial" w:eastAsia="Arial" w:hAnsi="Arial"/>
          <w:b w:val="false"/>
          <w:bCs w:val="false"/>
          <w:i w:val="false"/>
          <w:iCs w:val="false"/>
          <w:color w:val="111827"/>
          <w:sz w:val="22"/>
          <w:szCs w:val="22"/>
        </w:rPr>
        <w:t xml:space="preserve">A navigable gallery of 300 procedurally generated pedestrians with prev/random/next buttons and a profile filter. Each scenario shows: the cinematic GIF, AI verdict + onset / alert annotation, neurons-saved card, clinical report card, full rolling P(abnormal) curve, and the k-NN cohort retrieval row.</w:t>
      </w:r>
    </w:p>
    <w:p>
      <w:pPr>
        <w:pStyle w:val="Heading2"/>
        <w:spacing w:after="140" w:before="320"/>
      </w:pPr>
      <w:r>
        <w:rPr>
          <w:rFonts w:ascii="Arial" w:cs="Arial" w:eastAsia="Arial" w:hAnsi="Arial"/>
          <w:b/>
          <w:bCs/>
          <w:color w:val="1E3A8A"/>
          <w:sz w:val="28"/>
          <w:szCs w:val="28"/>
        </w:rPr>
        <w:t xml:space="preserve">16.4 Tab: Test the AI</w:t>
      </w:r>
    </w:p>
    <w:p>
      <w:pPr>
        <w:spacing w:after="60" w:before="60" w:line="300"/>
        <w:jc w:val="left"/>
      </w:pPr>
      <w:r>
        <w:rPr>
          <w:rFonts w:ascii="Arial" w:cs="Arial" w:eastAsia="Arial" w:hAnsi="Arial"/>
          <w:b w:val="false"/>
          <w:bCs w:val="false"/>
          <w:i w:val="false"/>
          <w:iCs w:val="false"/>
          <w:color w:val="111827"/>
          <w:sz w:val="22"/>
          <w:szCs w:val="22"/>
        </w:rPr>
        <w:t xml:space="preserve">Three sub-tabs (Sandbox, Pathology sweep, Cohort benchmark) as described in Section 15.</w:t>
      </w:r>
    </w:p>
    <w:p>
      <w:pPr>
        <w:pStyle w:val="Heading2"/>
        <w:spacing w:after="140" w:before="320"/>
      </w:pPr>
      <w:r>
        <w:rPr>
          <w:rFonts w:ascii="Arial" w:cs="Arial" w:eastAsia="Arial" w:hAnsi="Arial"/>
          <w:b/>
          <w:bCs/>
          <w:color w:val="1E3A8A"/>
          <w:sz w:val="28"/>
          <w:szCs w:val="28"/>
        </w:rPr>
        <w:t xml:space="preserve">16.5 Tab: Architecture</w:t>
      </w:r>
    </w:p>
    <w:p>
      <w:pPr>
        <w:spacing w:after="60" w:before="60" w:line="300"/>
        <w:jc w:val="left"/>
      </w:pPr>
      <w:r>
        <w:rPr>
          <w:rFonts w:ascii="Arial" w:cs="Arial" w:eastAsia="Arial" w:hAnsi="Arial"/>
          <w:b w:val="false"/>
          <w:bCs w:val="false"/>
          <w:i w:val="false"/>
          <w:iCs w:val="false"/>
          <w:color w:val="111827"/>
          <w:sz w:val="22"/>
          <w:szCs w:val="22"/>
        </w:rPr>
        <w:t xml:space="preserve">In-app documentation of the pipeline, model architecture, performance numbers, and clinical caveats.</w:t>
      </w:r>
    </w:p>
    <w:p>
      <w:pPr>
        <w:pStyle w:val="Heading1"/>
        <w:pageBreakBefore/>
        <w:spacing w:after="200" w:before="480"/>
      </w:pPr>
      <w:r>
        <w:rPr>
          <w:rFonts w:ascii="Arial" w:cs="Arial" w:eastAsia="Arial" w:hAnsi="Arial"/>
          <w:b/>
          <w:bCs/>
          <w:color w:val="1E3A8A"/>
          <w:sz w:val="36"/>
          <w:szCs w:val="36"/>
        </w:rPr>
        <w:t xml:space="preserve">17. Source Code Organization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4"/>
              <w:left w:val="single" w:color="CBD5E1" w:sz="4"/>
              <w:bottom w:val="single" w:color="CBD5E1" w:sz="4"/>
              <w:right w:val="single" w:color="CBD5E1" w:sz="4"/>
            </w:tcBorders>
            <w:shd w:fill="D5E8F0" w:val="clear"/>
            <w:tcMar>
              <w:top w:type="dxa" w:w="80"/>
              <w:left w:type="dxa" w:w="120"/>
              <w:bottom w:type="dxa" w:w="80"/>
              <w:right w:type="dxa" w:w="120"/>
            </w:tcMar>
          </w:tcPr>
          <w:p>
            <w:r>
              <w:rPr>
                <w:rFonts w:ascii="Arial" w:cs="Arial" w:eastAsia="Arial" w:hAnsi="Arial"/>
                <w:b/>
                <w:bCs/>
                <w:color w:val="0F172A"/>
                <w:sz w:val="20"/>
                <w:szCs w:val="20"/>
              </w:rPr>
              <w:t xml:space="preserve">File</w:t>
            </w:r>
          </w:p>
        </w:tc>
        <w:tc>
          <w:tcPr>
            <w:tcW w:type="dxa" w:w="6960"/>
            <w:tcBorders>
              <w:top w:val="single" w:color="CBD5E1" w:sz="4"/>
              <w:left w:val="single" w:color="CBD5E1" w:sz="4"/>
              <w:bottom w:val="single" w:color="CBD5E1" w:sz="4"/>
              <w:right w:val="single" w:color="CBD5E1" w:sz="4"/>
            </w:tcBorders>
            <w:shd w:fill="D5E8F0" w:val="clear"/>
            <w:tcMar>
              <w:top w:type="dxa" w:w="80"/>
              <w:left w:type="dxa" w:w="120"/>
              <w:bottom w:type="dxa" w:w="80"/>
              <w:right w:type="dxa" w:w="120"/>
            </w:tcMar>
          </w:tcPr>
          <w:p>
            <w:r>
              <w:rPr>
                <w:rFonts w:ascii="Arial" w:cs="Arial" w:eastAsia="Arial" w:hAnsi="Arial"/>
                <w:b/>
                <w:bCs/>
                <w:color w:val="0F172A"/>
                <w:sz w:val="20"/>
                <w:szCs w:val="20"/>
              </w:rPr>
              <w:t xml:space="preserve">Purpose</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gait_sim.py</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Core gait simulator (single-window): _subject anthropometric sampler, _kinematics(profile, severity), simulate_window(), build_features() (24-channel expansion), make_dataset() for training data.</w:t>
            </w:r>
          </w:p>
        </w:tc>
      </w:tr>
      <w:tr>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scenarios.py</w:t>
            </w:r>
          </w:p>
        </w:tc>
        <w:tc>
          <w:tcPr>
            <w:tcW w:type="dxa" w:w="69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Long-form scenarios + clinical layers: simulate_walk() (continuous walks with pathology onset + crossfade), build_skeleton_frames() (full-body kinematics from 4 sensors), generate_scenarios(n=300), sliding_window_inference(), alert_frame(), compute_saliency(), compute_clinical_metrics(), simulate_custom() for sandbox.</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train_model.py</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End-to-end training script: generates 7,200-window dataset, fits StandardScaler, trains binary + multiclass heads with EarlyStopping + ReduceLROnPlateau, writes training_report.txt.</w:t>
            </w:r>
          </w:p>
        </w:tc>
      </w:tr>
      <w:tr>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app2.py</w:t>
            </w:r>
          </w:p>
        </w:tc>
        <w:tc>
          <w:tcPr>
            <w:tcW w:type="dxa" w:w="69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Streamlit dashboard with five tabs, the cinematic matplotlib GIF renderer (render_cinematic_gif), and all clinical UI layers.</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stroke_model_v2.h5</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Trained binary screener weights (Keras HDF5).</w:t>
            </w:r>
          </w:p>
        </w:tc>
      </w:tr>
      <w:tr>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motion_multiclass.h5</w:t>
            </w:r>
          </w:p>
        </w:tc>
        <w:tc>
          <w:tcPr>
            <w:tcW w:type="dxa" w:w="69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Trained 6-class differential head weights.</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scaler_v2.save</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11827"/>
                <w:sz w:val="20"/>
                <w:szCs w:val="20"/>
              </w:rPr>
              <w:t xml:space="preserve">Fitted scikit-learn StandardScaler (joblib pickle).</w:t>
            </w:r>
          </w:p>
        </w:tc>
      </w:tr>
      <w:tr>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training_report.txt</w:t>
            </w:r>
          </w:p>
        </w:tc>
        <w:tc>
          <w:tcPr>
            <w:tcW w:type="dxa" w:w="69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color w:val="111827"/>
                <w:sz w:val="20"/>
                <w:szCs w:val="20"/>
              </w:rPr>
              <w:t xml:space="preserve">Held-out classification report + confusion matrices from the most recent training run.</w:t>
            </w:r>
          </w:p>
        </w:tc>
      </w:tr>
    </w:tbl>
    <w:p>
      <w:pPr>
        <w:pStyle w:val="Heading1"/>
        <w:pageBreakBefore/>
        <w:spacing w:after="200" w:before="480"/>
      </w:pPr>
      <w:r>
        <w:rPr>
          <w:rFonts w:ascii="Arial" w:cs="Arial" w:eastAsia="Arial" w:hAnsi="Arial"/>
          <w:b/>
          <w:bCs/>
          <w:color w:val="1E3A8A"/>
          <w:sz w:val="36"/>
          <w:szCs w:val="36"/>
        </w:rPr>
        <w:t xml:space="preserve">18. Honest Caveats &amp; Path to Clinical Use</w:t>
      </w:r>
    </w:p>
    <w:p>
      <w:pPr>
        <w:pStyle w:val="Heading2"/>
        <w:spacing w:after="140" w:before="320"/>
      </w:pPr>
      <w:r>
        <w:rPr>
          <w:rFonts w:ascii="Arial" w:cs="Arial" w:eastAsia="Arial" w:hAnsi="Arial"/>
          <w:b/>
          <w:bCs/>
          <w:color w:val="1E3A8A"/>
          <w:sz w:val="28"/>
          <w:szCs w:val="28"/>
        </w:rPr>
        <w:t xml:space="preserve">18.1 Synthetic-data limitations</w:t>
      </w:r>
    </w:p>
    <w:p>
      <w:pPr>
        <w:spacing w:after="60" w:before="60" w:line="300"/>
        <w:jc w:val="left"/>
      </w:pPr>
      <w:r>
        <w:rPr>
          <w:rFonts w:ascii="Arial" w:cs="Arial" w:eastAsia="Arial" w:hAnsi="Arial"/>
          <w:b w:val="false"/>
          <w:bCs w:val="false"/>
          <w:i w:val="false"/>
          <w:iCs w:val="false"/>
          <w:color w:val="111827"/>
          <w:sz w:val="22"/>
          <w:szCs w:val="22"/>
        </w:rPr>
        <w:t xml:space="preserve">Motion-AI in its current form is trained exclusively on a physics-informed synthetic dataset. While the pathology kinematic signatures are literature-derived and the subject randomization spans a realistic population, the synthetic data does not capture:</w:t>
      </w:r>
    </w:p>
    <w:p>
      <w:pPr>
        <w:pStyle w:val="ListParagraph"/>
        <w:numPr>
          <w:ilvl w:val="0"/>
          <w:numId w:val="2"/>
        </w:numPr>
        <w:spacing w:after="40" w:before="40" w:line="280"/>
      </w:pPr>
      <w:r>
        <w:rPr>
          <w:rFonts w:ascii="Arial" w:cs="Arial" w:eastAsia="Arial" w:hAnsi="Arial"/>
          <w:color w:val="111827"/>
          <w:sz w:val="22"/>
          <w:szCs w:val="22"/>
        </w:rPr>
        <w:t xml:space="preserve">Real human stride-to-stride variability beyond the modelled noise</w:t>
      </w:r>
    </w:p>
    <w:p>
      <w:pPr>
        <w:pStyle w:val="ListParagraph"/>
        <w:numPr>
          <w:ilvl w:val="0"/>
          <w:numId w:val="2"/>
        </w:numPr>
        <w:spacing w:after="40" w:before="40" w:line="280"/>
      </w:pPr>
      <w:r>
        <w:rPr>
          <w:rFonts w:ascii="Arial" w:cs="Arial" w:eastAsia="Arial" w:hAnsi="Arial"/>
          <w:color w:val="111827"/>
          <w:sz w:val="22"/>
          <w:szCs w:val="22"/>
        </w:rPr>
        <w:t xml:space="preserve">Comorbidity-driven gait patterns (e.g. orthopaedic pain altering Parkinsonian gait)</w:t>
      </w:r>
    </w:p>
    <w:p>
      <w:pPr>
        <w:pStyle w:val="ListParagraph"/>
        <w:numPr>
          <w:ilvl w:val="0"/>
          <w:numId w:val="2"/>
        </w:numPr>
        <w:spacing w:after="40" w:before="40" w:line="280"/>
      </w:pPr>
      <w:r>
        <w:rPr>
          <w:rFonts w:ascii="Arial" w:cs="Arial" w:eastAsia="Arial" w:hAnsi="Arial"/>
          <w:color w:val="111827"/>
          <w:sz w:val="22"/>
          <w:szCs w:val="22"/>
        </w:rPr>
        <w:t xml:space="preserve">Assistive-device use (cane, walker, AFO orthosis)</w:t>
      </w:r>
    </w:p>
    <w:p>
      <w:pPr>
        <w:pStyle w:val="ListParagraph"/>
        <w:numPr>
          <w:ilvl w:val="0"/>
          <w:numId w:val="2"/>
        </w:numPr>
        <w:spacing w:after="40" w:before="40" w:line="280"/>
      </w:pPr>
      <w:r>
        <w:rPr>
          <w:rFonts w:ascii="Arial" w:cs="Arial" w:eastAsia="Arial" w:hAnsi="Arial"/>
          <w:color w:val="111827"/>
          <w:sz w:val="22"/>
          <w:szCs w:val="22"/>
        </w:rPr>
        <w:t xml:space="preserve">Real IMU sensor artefacts (drift bias, magnetic interference, dropouts)</w:t>
      </w:r>
    </w:p>
    <w:p>
      <w:pPr>
        <w:pStyle w:val="ListParagraph"/>
        <w:numPr>
          <w:ilvl w:val="0"/>
          <w:numId w:val="2"/>
        </w:numPr>
        <w:spacing w:after="40" w:before="40" w:line="280"/>
      </w:pPr>
      <w:r>
        <w:rPr>
          <w:rFonts w:ascii="Arial" w:cs="Arial" w:eastAsia="Arial" w:hAnsi="Arial"/>
          <w:color w:val="111827"/>
          <w:sz w:val="22"/>
          <w:szCs w:val="22"/>
        </w:rPr>
        <w:t xml:space="preserve">Highly-asymmetric body morphologies (amputation, prior orthopaedic surgery)</w:t>
      </w:r>
    </w:p>
    <w:p>
      <w:pPr>
        <w:pStyle w:val="Heading2"/>
        <w:spacing w:after="140" w:before="320"/>
      </w:pPr>
      <w:r>
        <w:rPr>
          <w:rFonts w:ascii="Arial" w:cs="Arial" w:eastAsia="Arial" w:hAnsi="Arial"/>
          <w:b/>
          <w:bCs/>
          <w:color w:val="1E3A8A"/>
          <w:sz w:val="28"/>
          <w:szCs w:val="28"/>
        </w:rPr>
        <w:t xml:space="preserve">18.2 Transfer-learning path</w:t>
      </w:r>
    </w:p>
    <w:p>
      <w:pPr>
        <w:spacing w:after="60" w:before="60" w:line="300"/>
        <w:jc w:val="left"/>
      </w:pPr>
      <w:r>
        <w:rPr>
          <w:rFonts w:ascii="Arial" w:cs="Arial" w:eastAsia="Arial" w:hAnsi="Arial"/>
          <w:b w:val="false"/>
          <w:bCs w:val="false"/>
          <w:i w:val="false"/>
          <w:iCs w:val="false"/>
          <w:color w:val="111827"/>
          <w:sz w:val="22"/>
          <w:szCs w:val="22"/>
        </w:rPr>
        <w:t xml:space="preserve">The architecture and pipeline are designed so the trained backbone can be transferred onto real clinical IMU corpora. The recommended path:</w:t>
      </w:r>
    </w:p>
    <w:p>
      <w:pPr>
        <w:pStyle w:val="ListParagraph"/>
        <w:numPr>
          <w:ilvl w:val="0"/>
          <w:numId w:val="3"/>
        </w:numPr>
        <w:spacing w:after="40" w:before="40" w:line="280"/>
      </w:pPr>
      <w:r>
        <w:rPr>
          <w:rFonts w:ascii="Arial" w:cs="Arial" w:eastAsia="Arial" w:hAnsi="Arial"/>
          <w:color w:val="111827"/>
          <w:sz w:val="22"/>
          <w:szCs w:val="22"/>
        </w:rPr>
        <w:t xml:space="preserve">Freeze the Conv1D layers (learned local kinematic textures generalize well).</w:t>
      </w:r>
    </w:p>
    <w:p>
      <w:pPr>
        <w:pStyle w:val="ListParagraph"/>
        <w:numPr>
          <w:ilvl w:val="0"/>
          <w:numId w:val="3"/>
        </w:numPr>
        <w:spacing w:after="40" w:before="40" w:line="280"/>
      </w:pPr>
      <w:r>
        <w:rPr>
          <w:rFonts w:ascii="Arial" w:cs="Arial" w:eastAsia="Arial" w:hAnsi="Arial"/>
          <w:color w:val="111827"/>
          <w:sz w:val="22"/>
          <w:szCs w:val="22"/>
        </w:rPr>
        <w:t xml:space="preserve">Replace the dataset with a real corpus — recommended starting points: PhysioNet "Gait in Neurodegenerative Disease Database" (Parkinson, Huntington, ALS); Daphnet "Freezing of Gait" dataset; or institutional gait-lab IMU recordings.</w:t>
      </w:r>
    </w:p>
    <w:p>
      <w:pPr>
        <w:pStyle w:val="ListParagraph"/>
        <w:numPr>
          <w:ilvl w:val="0"/>
          <w:numId w:val="3"/>
        </w:numPr>
        <w:spacing w:after="40" w:before="40" w:line="280"/>
      </w:pPr>
      <w:r>
        <w:rPr>
          <w:rFonts w:ascii="Arial" w:cs="Arial" w:eastAsia="Arial" w:hAnsi="Arial"/>
          <w:color w:val="111827"/>
          <w:sz w:val="22"/>
          <w:szCs w:val="22"/>
        </w:rPr>
        <w:t xml:space="preserve">Fine-tune the BiLSTM + Dense head with a small learning rate (1e-4).</w:t>
      </w:r>
    </w:p>
    <w:p>
      <w:pPr>
        <w:pStyle w:val="ListParagraph"/>
        <w:numPr>
          <w:ilvl w:val="0"/>
          <w:numId w:val="3"/>
        </w:numPr>
        <w:spacing w:after="40" w:before="40" w:line="280"/>
      </w:pPr>
      <w:r>
        <w:rPr>
          <w:rFonts w:ascii="Arial" w:cs="Arial" w:eastAsia="Arial" w:hAnsi="Arial"/>
          <w:color w:val="111827"/>
          <w:sz w:val="22"/>
          <w:szCs w:val="22"/>
        </w:rPr>
        <w:t xml:space="preserve">Validate sensitivity / specificity on an externally held-out clinical site.</w:t>
      </w:r>
    </w:p>
    <w:p>
      <w:pPr>
        <w:pStyle w:val="Heading2"/>
        <w:spacing w:after="140" w:before="320"/>
      </w:pPr>
      <w:r>
        <w:rPr>
          <w:rFonts w:ascii="Arial" w:cs="Arial" w:eastAsia="Arial" w:hAnsi="Arial"/>
          <w:b/>
          <w:bCs/>
          <w:color w:val="1E3A8A"/>
          <w:sz w:val="28"/>
          <w:szCs w:val="28"/>
        </w:rPr>
        <w:t xml:space="preserve">18.3 Regulatory status</w:t>
      </w:r>
    </w:p>
    <w:p>
      <w:pPr>
        <w:spacing w:after="60" w:before="60" w:line="300"/>
        <w:jc w:val="left"/>
      </w:pPr>
      <w:r>
        <w:rPr>
          <w:rFonts w:ascii="Arial" w:cs="Arial" w:eastAsia="Arial" w:hAnsi="Arial"/>
          <w:b w:val="false"/>
          <w:bCs w:val="false"/>
          <w:i w:val="false"/>
          <w:iCs w:val="false"/>
          <w:color w:val="111827"/>
          <w:sz w:val="22"/>
          <w:szCs w:val="22"/>
        </w:rPr>
        <w:t xml:space="preserve">Motion-AI is a research / educational prototype. It is NOT a diagnostic medical device. It has not been validated against any clinical reference standard, has not undergone IRB review for human use, and is not cleared by any regulatory body (FDA, CE, MHRA). Any deployment in a clinical workflow would require, at minimum, a prospective clinical validation study against a clinician-adjudicated reference, software as a medical device (SaMD) classification under appropriate regulator, and a quality-management system (e.g. ISO 13485).</w:t>
      </w:r>
    </w:p>
    <w:p>
      <w:pPr>
        <w:pStyle w:val="Heading2"/>
        <w:spacing w:after="140" w:before="320"/>
      </w:pPr>
      <w:r>
        <w:rPr>
          <w:rFonts w:ascii="Arial" w:cs="Arial" w:eastAsia="Arial" w:hAnsi="Arial"/>
          <w:b/>
          <w:bCs/>
          <w:color w:val="1E3A8A"/>
          <w:sz w:val="28"/>
          <w:szCs w:val="28"/>
        </w:rPr>
        <w:t xml:space="preserve">18.4 Ethical considerations</w:t>
      </w:r>
    </w:p>
    <w:p>
      <w:pPr>
        <w:pStyle w:val="ListParagraph"/>
        <w:numPr>
          <w:ilvl w:val="0"/>
          <w:numId w:val="2"/>
        </w:numPr>
        <w:spacing w:after="40" w:before="40" w:line="280"/>
      </w:pPr>
      <w:r>
        <w:rPr>
          <w:rFonts w:ascii="Arial" w:cs="Arial" w:eastAsia="Arial" w:hAnsi="Arial"/>
          <w:color w:val="111827"/>
          <w:sz w:val="22"/>
          <w:szCs w:val="22"/>
        </w:rPr>
        <w:t xml:space="preserve">False positives in continuous monitoring could cause alarm fatigue or unnecessary medical attention.</w:t>
      </w:r>
    </w:p>
    <w:p>
      <w:pPr>
        <w:pStyle w:val="ListParagraph"/>
        <w:numPr>
          <w:ilvl w:val="0"/>
          <w:numId w:val="2"/>
        </w:numPr>
        <w:spacing w:after="40" w:before="40" w:line="280"/>
      </w:pPr>
      <w:r>
        <w:rPr>
          <w:rFonts w:ascii="Arial" w:cs="Arial" w:eastAsia="Arial" w:hAnsi="Arial"/>
          <w:color w:val="111827"/>
          <w:sz w:val="22"/>
          <w:szCs w:val="22"/>
        </w:rPr>
        <w:t xml:space="preserve">False negatives could create a dangerous illusion of safety; the system must always be presented as a screening adjunct, never a replacement for clinical judgement.</w:t>
      </w:r>
    </w:p>
    <w:p>
      <w:pPr>
        <w:pStyle w:val="ListParagraph"/>
        <w:numPr>
          <w:ilvl w:val="0"/>
          <w:numId w:val="2"/>
        </w:numPr>
        <w:spacing w:after="40" w:before="40" w:line="280"/>
      </w:pPr>
      <w:r>
        <w:rPr>
          <w:rFonts w:ascii="Arial" w:cs="Arial" w:eastAsia="Arial" w:hAnsi="Arial"/>
          <w:color w:val="111827"/>
          <w:sz w:val="22"/>
          <w:szCs w:val="22"/>
        </w:rPr>
        <w:t xml:space="preserve">Continuous bilateral motion monitoring is personally sensitive data; on-device inference (no raw stream upload) is a default design requirement.</w:t>
      </w:r>
    </w:p>
    <w:p>
      <w:pPr>
        <w:pStyle w:val="ListParagraph"/>
        <w:numPr>
          <w:ilvl w:val="0"/>
          <w:numId w:val="2"/>
        </w:numPr>
        <w:spacing w:after="40" w:before="40" w:line="280"/>
      </w:pPr>
      <w:r>
        <w:rPr>
          <w:rFonts w:ascii="Arial" w:cs="Arial" w:eastAsia="Arial" w:hAnsi="Arial"/>
          <w:color w:val="111827"/>
          <w:sz w:val="22"/>
          <w:szCs w:val="22"/>
        </w:rPr>
        <w:t xml:space="preserve">Bias: the synthetic subject distribution is symmetric and Western anthropometry; real-world deployment requires demographically representative validation.</w:t>
      </w:r>
    </w:p>
    <w:p>
      <w:pPr>
        <w:pStyle w:val="Heading1"/>
        <w:pageBreakBefore/>
        <w:spacing w:after="200" w:before="480"/>
      </w:pPr>
      <w:r>
        <w:rPr>
          <w:rFonts w:ascii="Arial" w:cs="Arial" w:eastAsia="Arial" w:hAnsi="Arial"/>
          <w:b/>
          <w:bCs/>
          <w:color w:val="1E3A8A"/>
          <w:sz w:val="36"/>
          <w:szCs w:val="36"/>
        </w:rPr>
        <w:t xml:space="preserve">19. References</w:t>
      </w:r>
    </w:p>
    <w:p>
      <w:pPr>
        <w:pStyle w:val="ListParagraph"/>
        <w:numPr>
          <w:ilvl w:val="0"/>
          <w:numId w:val="2"/>
        </w:numPr>
        <w:spacing w:after="40" w:before="40" w:line="280"/>
      </w:pPr>
      <w:r>
        <w:rPr>
          <w:rFonts w:ascii="Arial" w:cs="Arial" w:eastAsia="Arial" w:hAnsi="Arial"/>
          <w:color w:val="111827"/>
          <w:sz w:val="22"/>
          <w:szCs w:val="22"/>
        </w:rPr>
        <w:t xml:space="preserve">Saver JL. "Time is brain — quantified." Stroke. 2006;37(1):263-266.</w:t>
      </w:r>
    </w:p>
    <w:p>
      <w:pPr>
        <w:pStyle w:val="ListParagraph"/>
        <w:numPr>
          <w:ilvl w:val="0"/>
          <w:numId w:val="2"/>
        </w:numPr>
        <w:spacing w:after="40" w:before="40" w:line="280"/>
      </w:pPr>
      <w:r>
        <w:rPr>
          <w:rFonts w:ascii="Arial" w:cs="Arial" w:eastAsia="Arial" w:hAnsi="Arial"/>
          <w:color w:val="111827"/>
          <w:sz w:val="22"/>
          <w:szCs w:val="22"/>
        </w:rPr>
        <w:t xml:space="preserve">Robinson RO, Herzog W, Nigg BM. "Use of force platform variables to quantify the effects of chiropractic manipulation on gait symmetry." J Manipulative Physiol Ther. 1987;10(4):172-176.</w:t>
      </w:r>
    </w:p>
    <w:p>
      <w:pPr>
        <w:pStyle w:val="ListParagraph"/>
        <w:numPr>
          <w:ilvl w:val="0"/>
          <w:numId w:val="2"/>
        </w:numPr>
        <w:spacing w:after="40" w:before="40" w:line="280"/>
      </w:pPr>
      <w:r>
        <w:rPr>
          <w:rFonts w:ascii="Arial" w:cs="Arial" w:eastAsia="Arial" w:hAnsi="Arial"/>
          <w:color w:val="111827"/>
          <w:sz w:val="22"/>
          <w:szCs w:val="22"/>
        </w:rPr>
        <w:t xml:space="preserve">Bohannon RW. "Comfortable and maximum walking speed of adults aged 20-79 years: reference values and determinants." Age Ageing. 1997;26(1):15-19.</w:t>
      </w:r>
    </w:p>
    <w:p>
      <w:pPr>
        <w:pStyle w:val="ListParagraph"/>
        <w:numPr>
          <w:ilvl w:val="0"/>
          <w:numId w:val="2"/>
        </w:numPr>
        <w:spacing w:after="40" w:before="40" w:line="280"/>
      </w:pPr>
      <w:r>
        <w:rPr>
          <w:rFonts w:ascii="Arial" w:cs="Arial" w:eastAsia="Arial" w:hAnsi="Arial"/>
          <w:color w:val="111827"/>
          <w:sz w:val="22"/>
          <w:szCs w:val="22"/>
        </w:rPr>
        <w:t xml:space="preserve">Simonyan K, Vedaldi A, Zisserman A. "Deep inside convolutional networks: visualising image classification models and saliency maps." ICLR Workshop 2014.</w:t>
      </w:r>
    </w:p>
    <w:p>
      <w:pPr>
        <w:pStyle w:val="ListParagraph"/>
        <w:numPr>
          <w:ilvl w:val="0"/>
          <w:numId w:val="2"/>
        </w:numPr>
        <w:spacing w:after="40" w:before="40" w:line="280"/>
      </w:pPr>
      <w:r>
        <w:rPr>
          <w:rFonts w:ascii="Arial" w:cs="Arial" w:eastAsia="Arial" w:hAnsi="Arial"/>
          <w:color w:val="111827"/>
          <w:sz w:val="22"/>
          <w:szCs w:val="22"/>
        </w:rPr>
        <w:t xml:space="preserve">Hof AL. "Scaling gait data to body size." Gait &amp; Posture. 1996;4(3):222-223.</w:t>
      </w:r>
    </w:p>
    <w:p>
      <w:pPr>
        <w:pStyle w:val="ListParagraph"/>
        <w:numPr>
          <w:ilvl w:val="0"/>
          <w:numId w:val="2"/>
        </w:numPr>
        <w:spacing w:after="40" w:before="40" w:line="280"/>
      </w:pPr>
      <w:r>
        <w:rPr>
          <w:rFonts w:ascii="Arial" w:cs="Arial" w:eastAsia="Arial" w:hAnsi="Arial"/>
          <w:color w:val="111827"/>
          <w:sz w:val="22"/>
          <w:szCs w:val="22"/>
        </w:rPr>
        <w:t xml:space="preserve">PhysioNet Gait in Neurodegenerative Disease Database. https://physionet.org/content/gaitndd/</w:t>
      </w:r>
    </w:p>
    <w:p>
      <w:pPr>
        <w:pStyle w:val="ListParagraph"/>
        <w:numPr>
          <w:ilvl w:val="0"/>
          <w:numId w:val="2"/>
        </w:numPr>
        <w:spacing w:after="40" w:before="40" w:line="280"/>
      </w:pPr>
      <w:r>
        <w:rPr>
          <w:rFonts w:ascii="Arial" w:cs="Arial" w:eastAsia="Arial" w:hAnsi="Arial"/>
          <w:color w:val="111827"/>
          <w:sz w:val="22"/>
          <w:szCs w:val="22"/>
        </w:rPr>
        <w:t xml:space="preserve">Daphnet Freezing of Gait Dataset. https://archive.ics.uci.edu/dataset/245/daphnet+freezing+of+gait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B5563"/>
        <w:sz w:val="18"/>
        <w:szCs w:val="18"/>
      </w:rPr>
      <w:t xml:space="preserve">Page </w:t>
    </w:r>
    <w:r>
      <w:rPr>
        <w:rFonts w:ascii="Arial" w:cs="Arial" w:eastAsia="Arial" w:hAnsi="Arial"/>
        <w:color w:val="4B556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4B5563"/>
        <w:sz w:val="18"/>
        <w:szCs w:val="18"/>
      </w:rPr>
      <w:t xml:space="preserve">Motion-AI Technical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E3A8A"/>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1E3A8A"/>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2026-05-18T13:45:30.976Z</dcterms:created>
  <dcterms:modified xsi:type="dcterms:W3CDTF">2026-05-18T13:45:30.982Z</dcterms:modified>
</cp:coreProperties>
</file>

<file path=docProps/custom.xml><?xml version="1.0" encoding="utf-8"?>
<Properties xmlns="http://schemas.openxmlformats.org/officeDocument/2006/custom-properties" xmlns:vt="http://schemas.openxmlformats.org/officeDocument/2006/docPropsVTypes"/>
</file>