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0112c5e2f5af92e78724b73290a4cb88e5f07d0"/>
    <w:p>
      <w:pPr>
        <w:pStyle w:val="Heading1"/>
      </w:pPr>
      <w:r>
        <w:t xml:space="preserve">Лабораторийн ажил 1 Баримтжуулалтын суурь</w:t>
      </w:r>
    </w:p>
    <w:p>
      <w:pPr>
        <w:pStyle w:val="FirstParagraph"/>
      </w:pPr>
      <w:r>
        <w:rPr>
          <w:bCs/>
          <w:b/>
        </w:rPr>
        <w:t xml:space="preserve">Төсөл:</w:t>
      </w:r>
      <w:r>
        <w:t xml:space="preserve"> </w:t>
      </w:r>
      <w:r>
        <w:t xml:space="preserve">FoodFlow онлайн хоол захиалгын систем. Баримтын төрлийг бодит төслүүдээс харж, FoodFlow-ийн уншигчийг тодорхойлж, ойлгомжгүй өгүүлбэрүүдийг заслаа.</w:t>
      </w:r>
    </w:p>
    <w:bookmarkStart w:id="32" w:name="гурван-төслийн-баримтын-зураглал"/>
    <w:p>
      <w:pPr>
        <w:pStyle w:val="Heading2"/>
      </w:pPr>
      <w:r>
        <w:t xml:space="preserve">1 Гурван төслийн баримтын зураглал</w:t>
      </w:r>
    </w:p>
    <w:p>
      <w:pPr>
        <w:pStyle w:val="FirstParagraph"/>
      </w:pPr>
      <w:r>
        <w:t xml:space="preserve">Getting Started нь эхний ажиллах үр дүнд хүргэнэ; Tutorial нь нэг ажлыг дараалан заана; Reference нь нэр томьёо, тохиргоог хурдан олоход тусална; API Docs нь функц, параметр, request/response-ийн гэрээг өгнө. API Docs нь Reference-ийн нэг хэлбэр байж болох ч энд интерфейсийн яг гэрээгээр нь ялгав.</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Төсөл</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Төрөл</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Уншигчийн асуулт</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Байршил болон бодит жишээ</w:t>
            </w:r>
          </w:p>
        </w:tc>
      </w:tr>
      <w:tr>
        <w:trPr/>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FastAPI</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Getting Started</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Эхний ажиллах API-гаа яаж асаах вэ?</w:t>
            </w:r>
          </w:p>
        </w:tc>
        <w:tc>
          <w:tcPr>
            <w:vAlign w:val="center"/>
            <w:tcBorders>
              <w:top w:val="single" w:sz="4" w:color="000000"/>
              <w:left w:val="single" w:sz="4" w:color="000000"/>
              <w:bottom w:val="single" w:sz="4" w:color="000000"/>
              <w:right w:val="single" w:sz="4" w:color="000000"/>
            </w:tcBorders>
          </w:tcPr>
          <w:p>
            <w:pPr>
              <w:pStyle w:val="Compact"/>
              <w:spacing w:after="20"/>
              <w:jc w:val="left"/>
            </w:pPr>
            <w:hyperlink r:id="rId20">
              <w:r>
                <w:rPr>
                  <w:rStyle w:val="Hyperlink"/>
                </w:rPr>
                <w:t xml:space="preserve">First Steps</w:t>
              </w:r>
            </w:hyperlink>
          </w:p>
        </w:tc>
      </w:tr>
      <w:tr>
        <w:trPr/>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FastAPI</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Tutorial</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Auth, request body-г яаж хэрэглэх вэ?</w:t>
            </w:r>
          </w:p>
        </w:tc>
        <w:tc>
          <w:tcPr>
            <w:vAlign w:val="center"/>
            <w:tcBorders>
              <w:top w:val="single" w:sz="4" w:color="000000"/>
              <w:left w:val="single" w:sz="4" w:color="000000"/>
              <w:bottom w:val="single" w:sz="4" w:color="000000"/>
              <w:right w:val="single" w:sz="4" w:color="000000"/>
            </w:tcBorders>
          </w:tcPr>
          <w:p>
            <w:pPr>
              <w:pStyle w:val="Compact"/>
              <w:spacing w:after="20"/>
              <w:jc w:val="left"/>
            </w:pPr>
            <w:hyperlink r:id="rId21">
              <w:r>
                <w:rPr>
                  <w:rStyle w:val="Hyperlink"/>
                </w:rPr>
                <w:t xml:space="preserve">Tutorial</w:t>
              </w:r>
            </w:hyperlink>
          </w:p>
        </w:tc>
      </w:tr>
      <w:tr>
        <w:trPr/>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FastAPI</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Reference</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FastAPI class-ийн параметр юу вэ?</w:t>
            </w:r>
          </w:p>
        </w:tc>
        <w:tc>
          <w:tcPr>
            <w:vAlign w:val="center"/>
            <w:tcBorders>
              <w:top w:val="single" w:sz="4" w:color="000000"/>
              <w:left w:val="single" w:sz="4" w:color="000000"/>
              <w:bottom w:val="single" w:sz="4" w:color="000000"/>
              <w:right w:val="single" w:sz="4" w:color="000000"/>
            </w:tcBorders>
          </w:tcPr>
          <w:p>
            <w:pPr>
              <w:pStyle w:val="Compact"/>
              <w:spacing w:after="20"/>
              <w:jc w:val="left"/>
            </w:pPr>
            <w:hyperlink r:id="rId22">
              <w:r>
                <w:rPr>
                  <w:rStyle w:val="Hyperlink"/>
                </w:rPr>
                <w:t xml:space="preserve">Reference</w:t>
              </w:r>
            </w:hyperlink>
          </w:p>
        </w:tc>
      </w:tr>
      <w:tr>
        <w:trPr/>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FastAPI</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API Docs</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Ажиллаж буй аппын endpoint, schema юу вэ?</w:t>
            </w:r>
          </w:p>
        </w:tc>
        <w:tc>
          <w:tcPr>
            <w:vAlign w:val="center"/>
            <w:tcBorders>
              <w:top w:val="single" w:sz="4" w:color="000000"/>
              <w:left w:val="single" w:sz="4" w:color="000000"/>
              <w:bottom w:val="single" w:sz="4" w:color="000000"/>
              <w:right w:val="single" w:sz="4" w:color="000000"/>
            </w:tcBorders>
          </w:tcPr>
          <w:p>
            <w:pPr>
              <w:pStyle w:val="Compact"/>
              <w:spacing w:after="20"/>
              <w:jc w:val="left"/>
            </w:pPr>
            <w:hyperlink r:id="rId23">
              <w:r>
                <w:rPr>
                  <w:rStyle w:val="Hyperlink"/>
                </w:rPr>
                <w:t xml:space="preserve">OpenAPI ба /docs</w:t>
              </w:r>
            </w:hyperlink>
          </w:p>
        </w:tc>
      </w:tr>
      <w:tr>
        <w:trPr/>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Django</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Getting Started</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Яаж суулгаад эхлэх вэ?</w:t>
            </w:r>
          </w:p>
        </w:tc>
        <w:tc>
          <w:tcPr>
            <w:vAlign w:val="center"/>
            <w:tcBorders>
              <w:top w:val="single" w:sz="4" w:color="000000"/>
              <w:left w:val="single" w:sz="4" w:color="000000"/>
              <w:bottom w:val="single" w:sz="4" w:color="000000"/>
              <w:right w:val="single" w:sz="4" w:color="000000"/>
            </w:tcBorders>
          </w:tcPr>
          <w:p>
            <w:pPr>
              <w:pStyle w:val="Compact"/>
              <w:spacing w:after="20"/>
              <w:jc w:val="left"/>
            </w:pPr>
            <w:hyperlink r:id="rId24">
              <w:r>
                <w:rPr>
                  <w:rStyle w:val="Hyperlink"/>
                </w:rPr>
                <w:t xml:space="preserve">Quick install</w:t>
              </w:r>
            </w:hyperlink>
          </w:p>
        </w:tc>
      </w:tr>
      <w:tr>
        <w:trPr/>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Django</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Tutorial</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Эхний аппыг яаж хийх вэ?</w:t>
            </w:r>
          </w:p>
        </w:tc>
        <w:tc>
          <w:tcPr>
            <w:vAlign w:val="center"/>
            <w:tcBorders>
              <w:top w:val="single" w:sz="4" w:color="000000"/>
              <w:left w:val="single" w:sz="4" w:color="000000"/>
              <w:bottom w:val="single" w:sz="4" w:color="000000"/>
              <w:right w:val="single" w:sz="4" w:color="000000"/>
            </w:tcBorders>
          </w:tcPr>
          <w:p>
            <w:pPr>
              <w:pStyle w:val="Compact"/>
              <w:spacing w:after="20"/>
              <w:jc w:val="left"/>
            </w:pPr>
            <w:hyperlink r:id="rId25">
              <w:r>
                <w:rPr>
                  <w:rStyle w:val="Hyperlink"/>
                </w:rPr>
                <w:t xml:space="preserve">Tutorial 1</w:t>
              </w:r>
            </w:hyperlink>
          </w:p>
        </w:tc>
      </w:tr>
      <w:tr>
        <w:trPr/>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Django</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Reference</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Model-уудын тохиргоог хаанаас олох вэ?</w:t>
            </w:r>
          </w:p>
        </w:tc>
        <w:tc>
          <w:tcPr>
            <w:vAlign w:val="center"/>
            <w:tcBorders>
              <w:top w:val="single" w:sz="4" w:color="000000"/>
              <w:left w:val="single" w:sz="4" w:color="000000"/>
              <w:bottom w:val="single" w:sz="4" w:color="000000"/>
              <w:right w:val="single" w:sz="4" w:color="000000"/>
            </w:tcBorders>
          </w:tcPr>
          <w:p>
            <w:pPr>
              <w:pStyle w:val="Compact"/>
              <w:spacing w:after="20"/>
              <w:jc w:val="left"/>
            </w:pPr>
            <w:hyperlink r:id="rId26">
              <w:r>
                <w:rPr>
                  <w:rStyle w:val="Hyperlink"/>
                </w:rPr>
                <w:t xml:space="preserve">Model reference</w:t>
              </w:r>
            </w:hyperlink>
          </w:p>
        </w:tc>
      </w:tr>
      <w:tr>
        <w:trPr/>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Django</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API Docs</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QuerySet-ийн method, аргумент, үр дүн юу вэ?</w:t>
            </w:r>
          </w:p>
        </w:tc>
        <w:tc>
          <w:tcPr>
            <w:vAlign w:val="center"/>
            <w:tcBorders>
              <w:top w:val="single" w:sz="4" w:color="000000"/>
              <w:left w:val="single" w:sz="4" w:color="000000"/>
              <w:bottom w:val="single" w:sz="4" w:color="000000"/>
              <w:right w:val="single" w:sz="4" w:color="000000"/>
            </w:tcBorders>
          </w:tcPr>
          <w:p>
            <w:pPr>
              <w:pStyle w:val="Compact"/>
              <w:spacing w:after="20"/>
              <w:jc w:val="left"/>
            </w:pPr>
            <w:hyperlink r:id="rId27">
              <w:r>
                <w:rPr>
                  <w:rStyle w:val="Hyperlink"/>
                </w:rPr>
                <w:t xml:space="preserve">QuerySet API</w:t>
              </w:r>
            </w:hyperlink>
          </w:p>
        </w:tc>
      </w:tr>
      <w:tr>
        <w:trPr/>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NumPy</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Getting Started</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Array гэж юу вэ, эхний жишээ яаж ажиллах вэ?</w:t>
            </w:r>
          </w:p>
        </w:tc>
        <w:tc>
          <w:tcPr>
            <w:vAlign w:val="center"/>
            <w:tcBorders>
              <w:top w:val="single" w:sz="4" w:color="000000"/>
              <w:left w:val="single" w:sz="4" w:color="000000"/>
              <w:bottom w:val="single" w:sz="4" w:color="000000"/>
              <w:right w:val="single" w:sz="4" w:color="000000"/>
            </w:tcBorders>
          </w:tcPr>
          <w:p>
            <w:pPr>
              <w:pStyle w:val="Compact"/>
              <w:spacing w:after="20"/>
              <w:jc w:val="left"/>
            </w:pPr>
            <w:hyperlink r:id="rId28">
              <w:r>
                <w:rPr>
                  <w:rStyle w:val="Hyperlink"/>
                </w:rPr>
                <w:t xml:space="preserve">Absolute beginners</w:t>
              </w:r>
            </w:hyperlink>
          </w:p>
        </w:tc>
      </w:tr>
      <w:tr>
        <w:trPr/>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NumPy</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Tutorial</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Олон хэмжээст array-тай яаж ажиллах вэ?</w:t>
            </w:r>
          </w:p>
        </w:tc>
        <w:tc>
          <w:tcPr>
            <w:vAlign w:val="center"/>
            <w:tcBorders>
              <w:top w:val="single" w:sz="4" w:color="000000"/>
              <w:left w:val="single" w:sz="4" w:color="000000"/>
              <w:bottom w:val="single" w:sz="4" w:color="000000"/>
              <w:right w:val="single" w:sz="4" w:color="000000"/>
            </w:tcBorders>
          </w:tcPr>
          <w:p>
            <w:pPr>
              <w:pStyle w:val="Compact"/>
              <w:spacing w:after="20"/>
              <w:jc w:val="left"/>
            </w:pPr>
            <w:hyperlink r:id="rId29">
              <w:r>
                <w:rPr>
                  <w:rStyle w:val="Hyperlink"/>
                </w:rPr>
                <w:t xml:space="preserve">Quickstart</w:t>
              </w:r>
            </w:hyperlink>
          </w:p>
        </w:tc>
      </w:tr>
      <w:tr>
        <w:trPr/>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NumPy</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Reference</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ndarray-ийн бүтэц, төрөл юу вэ?</w:t>
            </w:r>
          </w:p>
        </w:tc>
        <w:tc>
          <w:tcPr>
            <w:vAlign w:val="center"/>
            <w:tcBorders>
              <w:top w:val="single" w:sz="4" w:color="000000"/>
              <w:left w:val="single" w:sz="4" w:color="000000"/>
              <w:bottom w:val="single" w:sz="4" w:color="000000"/>
              <w:right w:val="single" w:sz="4" w:color="000000"/>
            </w:tcBorders>
          </w:tcPr>
          <w:p>
            <w:pPr>
              <w:pStyle w:val="Compact"/>
              <w:spacing w:after="20"/>
              <w:jc w:val="left"/>
            </w:pPr>
            <w:hyperlink r:id="rId30">
              <w:r>
                <w:rPr>
                  <w:rStyle w:val="Hyperlink"/>
                </w:rPr>
                <w:t xml:space="preserve">Array objects</w:t>
              </w:r>
            </w:hyperlink>
          </w:p>
        </w:tc>
      </w:tr>
      <w:tr>
        <w:trPr/>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NumPy</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API Docs</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numpy.array() ямар параметр авдаг вэ?</w:t>
            </w:r>
          </w:p>
        </w:tc>
        <w:tc>
          <w:tcPr>
            <w:vAlign w:val="center"/>
            <w:tcBorders>
              <w:top w:val="single" w:sz="4" w:color="000000"/>
              <w:left w:val="single" w:sz="4" w:color="000000"/>
              <w:bottom w:val="single" w:sz="4" w:color="000000"/>
              <w:right w:val="single" w:sz="4" w:color="000000"/>
            </w:tcBorders>
          </w:tcPr>
          <w:p>
            <w:pPr>
              <w:pStyle w:val="Compact"/>
              <w:spacing w:after="20"/>
              <w:jc w:val="left"/>
            </w:pPr>
            <w:hyperlink r:id="rId31">
              <w:r>
                <w:rPr>
                  <w:rStyle w:val="Hyperlink"/>
                </w:rPr>
                <w:t xml:space="preserve">numpy.array API</w:t>
              </w:r>
            </w:hyperlink>
          </w:p>
        </w:tc>
      </w:tr>
    </w:tbl>
    <w:p>
      <w:pPr>
        <w:pStyle w:val="BodyText"/>
      </w:pPr>
      <w:r>
        <w:rPr>
          <w:bCs/>
          <w:b/>
        </w:rPr>
        <w:t xml:space="preserve">Төрөл тус бүрийн хоёр өгүүлбэр.</w:t>
      </w:r>
      <w:r>
        <w:t xml:space="preserve"> </w:t>
      </w:r>
      <w:r>
        <w:t xml:space="preserve">Getting Started-д</w:t>
      </w:r>
      <w:r>
        <w:t xml:space="preserve"> </w:t>
      </w:r>
      <w:r>
        <w:t xml:space="preserve">“</w:t>
      </w:r>
      <w:r>
        <w:t xml:space="preserve">эхлэхийн тулд юу хийх вэ?</w:t>
      </w:r>
      <w:r>
        <w:t xml:space="preserve">”</w:t>
      </w:r>
      <w:r>
        <w:t xml:space="preserve"> </w:t>
      </w:r>
      <w:r>
        <w:t xml:space="preserve">гэж асуудаг бөгөөд зам нь first-steps/, intro/install/, absolute_beginners/ зэрэг байдаг. Эхний жижиг үр дүнг хурдан харуулна.</w:t>
      </w:r>
    </w:p>
    <w:p>
      <w:pPr>
        <w:pStyle w:val="BodyText"/>
      </w:pPr>
      <w:r>
        <w:t xml:space="preserve">Tutorial-д</w:t>
      </w:r>
      <w:r>
        <w:t xml:space="preserve"> </w:t>
      </w:r>
      <w:r>
        <w:t xml:space="preserve">“</w:t>
      </w:r>
      <w:r>
        <w:t xml:space="preserve">энэ ажлыг яаж дуусгах вэ?</w:t>
      </w:r>
      <w:r>
        <w:t xml:space="preserve">”</w:t>
      </w:r>
      <w:r>
        <w:t xml:space="preserve"> </w:t>
      </w:r>
      <w:r>
        <w:t xml:space="preserve">гэж асуудаг бөгөөд tutorial/, intro/tutorial01/, user/quickstart зэрэг дараалсан хичээлд ордог. Уншигч өмнөх алхмын үр дүнг дараагийн алхамд хэрэглэнэ.</w:t>
      </w:r>
    </w:p>
    <w:p>
      <w:pPr>
        <w:pStyle w:val="BodyText"/>
      </w:pPr>
      <w:r>
        <w:t xml:space="preserve">Reference-д</w:t>
      </w:r>
      <w:r>
        <w:t xml:space="preserve"> </w:t>
      </w:r>
      <w:r>
        <w:t xml:space="preserve">“</w:t>
      </w:r>
      <w:r>
        <w:t xml:space="preserve">тодорхой нэр, тохиргоо юу гэсэн үг вэ?</w:t>
      </w:r>
      <w:r>
        <w:t xml:space="preserve">”</w:t>
      </w:r>
      <w:r>
        <w:t xml:space="preserve"> </w:t>
      </w:r>
      <w:r>
        <w:t xml:space="preserve">гэж асуудаг бөгөөд reference/, ref/models/, reference/arrays дотроос хайна. Энэ төрлийг эхнээс нь дуустал уншихаас илүү хэрэгтэй хэсэгт нь очиход ашиглана.</w:t>
      </w:r>
    </w:p>
    <w:p>
      <w:pPr>
        <w:pStyle w:val="BodyText"/>
      </w:pPr>
      <w:r>
        <w:t xml:space="preserve">API Docs-д</w:t>
      </w:r>
      <w:r>
        <w:t xml:space="preserve"> </w:t>
      </w:r>
      <w:r>
        <w:t xml:space="preserve">“</w:t>
      </w:r>
      <w:r>
        <w:t xml:space="preserve">ямар параметр оруулах, юу буцах вэ?</w:t>
      </w:r>
      <w:r>
        <w:t xml:space="preserve">”</w:t>
      </w:r>
      <w:r>
        <w:t xml:space="preserve"> </w:t>
      </w:r>
      <w:r>
        <w:t xml:space="preserve">гэж асуудаг бөгөөд FastAPI-ийн /docs, Django-ийн ref/models/querysets/, NumPy-ийн reference/generated/numpy.array.html зэрэг байршилтай. FoodFlow-д энэ нь GET /menu болон POST /orders-ийн request, response, алдааны код болно.</w:t>
      </w:r>
    </w:p>
    <w:bookmarkEnd w:id="32"/>
    <w:bookmarkStart w:id="36" w:name="foodflow-ийн-уншигчийн-persona"/>
    <w:p>
      <w:pPr>
        <w:pStyle w:val="Heading2"/>
      </w:pPr>
      <w:r>
        <w:t xml:space="preserve">2 FoodFlow-ийн уншигчийн persona</w:t>
      </w:r>
    </w:p>
    <w:p>
      <w:pPr>
        <w:pStyle w:val="FirstParagraph"/>
      </w:pPr>
      <w:r>
        <w:rPr>
          <w:bCs/>
          <w:b/>
        </w:rPr>
        <w:t xml:space="preserve">Анхдагч persona:</w:t>
      </w:r>
      <w:r>
        <w:t xml:space="preserve"> </w:t>
      </w:r>
      <w:r>
        <w:t xml:space="preserve">Ану, зохиомол Nomad Eats компанийн junior frontend developer. Тэр VS Code, React, TypeScript, Chrome DevTools, Postman, GitHub хэрэглэдэг. Menu → Cart → Checkout урсгалыг API-тай холбох үед auth, алдаа, version-ийг нэг дороос мэдэх шаардлагатай. Саруул гэдэг хоол захиалагч нь end-end user: Анугийн API баримт ойлгосон эсэх нь эцсийн хэрэглэгчийн дэлгэцэд нөлөөлдөг.</w:t>
      </w:r>
    </w:p>
    <w:p>
      <w:pPr>
        <w:pStyle w:val="BodyText"/>
      </w:pPr>
      <w:r>
        <w:t xml:space="preserve">Доорх гурван асуудлын хэв маягийг олон нийтийн бодит хэлэлцүүлгээс авсан. Асуулт тавьсан хүмүүсийг Ану гэж нэрлээгүй; persona нь зохиомол.</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Асуудал</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Нийтийн эх сурвалж</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FoodFlow-д хийх зүйл</w:t>
            </w:r>
          </w:p>
        </w:tc>
      </w:tr>
      <w:tr>
        <w:trPr/>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Swagger UI-д auth ажиллах ч browser хүсэлтэд token дамжихгүй</w:t>
            </w:r>
          </w:p>
        </w:tc>
        <w:tc>
          <w:tcPr>
            <w:vAlign w:val="center"/>
            <w:tcBorders>
              <w:top w:val="single" w:sz="4" w:color="000000"/>
              <w:left w:val="single" w:sz="4" w:color="000000"/>
              <w:bottom w:val="single" w:sz="4" w:color="000000"/>
              <w:right w:val="single" w:sz="4" w:color="000000"/>
            </w:tcBorders>
          </w:tcPr>
          <w:p>
            <w:pPr>
              <w:pStyle w:val="Compact"/>
              <w:spacing w:after="20"/>
              <w:jc w:val="left"/>
            </w:pPr>
            <w:hyperlink r:id="rId33">
              <w:r>
                <w:rPr>
                  <w:rStyle w:val="Hyperlink"/>
                </w:rPr>
                <w:t xml:space="preserve">FastAPI discussion 5827</w:t>
              </w:r>
            </w:hyperlink>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Authorization: Bearer header-ийн ажиллах жишээ өгнө.</w:t>
            </w:r>
          </w:p>
        </w:tc>
      </w:tr>
      <w:tr>
        <w:trPr/>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Frontend/backend response-ийн бүтэц зөрөх</w:t>
            </w:r>
          </w:p>
        </w:tc>
        <w:tc>
          <w:tcPr>
            <w:vAlign w:val="center"/>
            <w:tcBorders>
              <w:top w:val="single" w:sz="4" w:color="000000"/>
              <w:left w:val="single" w:sz="4" w:color="000000"/>
              <w:bottom w:val="single" w:sz="4" w:color="000000"/>
              <w:right w:val="single" w:sz="4" w:color="000000"/>
            </w:tcBorders>
          </w:tcPr>
          <w:p>
            <w:pPr>
              <w:pStyle w:val="Compact"/>
              <w:spacing w:after="20"/>
              <w:jc w:val="left"/>
            </w:pPr>
            <w:hyperlink r:id="rId34">
              <w:r>
                <w:rPr>
                  <w:rStyle w:val="Hyperlink"/>
                </w:rPr>
                <w:t xml:space="preserve">Stack Overflow 76598428</w:t>
              </w:r>
            </w:hyperlink>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Амжилт ба алдааны JSON хэлбэрийг нэг мөр болгоно.</w:t>
            </w:r>
          </w:p>
        </w:tc>
      </w:tr>
      <w:tr>
        <w:trPr/>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Номын жишээ хуучин Pydantic хэлбэр ашиглахад version-ийн анхааруулга гарах</w:t>
            </w:r>
          </w:p>
        </w:tc>
        <w:tc>
          <w:tcPr>
            <w:vAlign w:val="center"/>
            <w:tcBorders>
              <w:top w:val="single" w:sz="4" w:color="000000"/>
              <w:left w:val="single" w:sz="4" w:color="000000"/>
              <w:bottom w:val="single" w:sz="4" w:color="000000"/>
              <w:right w:val="single" w:sz="4" w:color="000000"/>
            </w:tcBorders>
          </w:tcPr>
          <w:p>
            <w:pPr>
              <w:pStyle w:val="Compact"/>
              <w:spacing w:after="20"/>
              <w:jc w:val="left"/>
            </w:pPr>
            <w:hyperlink r:id="rId35">
              <w:r>
                <w:rPr>
                  <w:rStyle w:val="Hyperlink"/>
                </w:rPr>
                <w:t xml:space="preserve">FastAPI discussion 11161</w:t>
              </w:r>
            </w:hyperlink>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Дэмжих FastAPI, Python, Pydantic version-ийг жишээнд бичнэ.</w:t>
            </w:r>
          </w:p>
        </w:tc>
      </w:tr>
    </w:tbl>
    <w:p>
      <w:pPr>
        <w:pStyle w:val="BodyText"/>
      </w:pPr>
      <w:r>
        <w:rPr>
          <w:bCs/>
          <w:b/>
        </w:rPr>
        <w:t xml:space="preserve">Зохиосон хэллэг:</w:t>
      </w:r>
      <w:r>
        <w:t xml:space="preserve"> </w:t>
      </w:r>
      <w:r>
        <w:t xml:space="preserve">“</w:t>
      </w:r>
      <w:r>
        <w:t xml:space="preserve">Menu-ийн амжилттай жишээ ойлгомжтой. Харин нэвтрэх token, алдааны JSON, хэрэгтэй version гурав нэг газарт байвал захиалгын хуудсыг хурдан холбоно.</w:t>
      </w:r>
      <w:r>
        <w:t xml:space="preserve">”</w:t>
      </w:r>
      <w:r>
        <w:t xml:space="preserve"> </w:t>
      </w:r>
      <w:r>
        <w:t xml:space="preserve">Энэ бол бодит 30 минутын ярилцлагын тэмдэглэл биш; жинхэнэ ярилцлагаар шалгах ноорог өгүүлбэр.</w:t>
      </w:r>
    </w:p>
    <w:p>
      <w:pPr>
        <w:pStyle w:val="BodyText"/>
      </w:pPr>
      <w:r>
        <w:rPr>
          <w:bCs/>
          <w:b/>
        </w:rPr>
        <w:t xml:space="preserve">Дэмжих persona:</w:t>
      </w:r>
      <w:r>
        <w:t xml:space="preserve"> </w:t>
      </w:r>
      <w:r>
        <w:t xml:space="preserve">Билэгт backend хөгжүүлэгч давхар захиалга, өгөгдлийн сангийн хил тодорхой байхыг хүснэ. Номин support ажилтан төлөв болон алдааны дараагийн алхмыг хурдан олохыг хүснэ. W04-ийн шийдвэрүүд эдгээр асуудалтай холбогдоно.</w:t>
      </w:r>
    </w:p>
    <w:bookmarkEnd w:id="36"/>
    <w:bookmarkStart w:id="38" w:name="readme-ийн-curse-of-knowledge-шалгалт"/>
    <w:p>
      <w:pPr>
        <w:pStyle w:val="Heading2"/>
      </w:pPr>
      <w:r>
        <w:t xml:space="preserve">3 README-ийн Curse of Knowledge шалгалт</w:t>
      </w:r>
    </w:p>
    <w:p>
      <w:pPr>
        <w:pStyle w:val="FirstParagraph"/>
      </w:pPr>
      <w:r>
        <w:t xml:space="preserve">Эдгээр гурван өгүүлбэрийг</w:t>
      </w:r>
      <w:r>
        <w:t xml:space="preserve"> </w:t>
      </w:r>
      <w:hyperlink r:id="rId37">
        <w:r>
          <w:rPr>
            <w:rStyle w:val="Hyperlink"/>
          </w:rPr>
          <w:t xml:space="preserve">FoodFlow-ийн эхний README ноорог</w:t>
        </w:r>
      </w:hyperlink>
      <w:r>
        <w:t xml:space="preserve">-т тэмдэглээд зассан. Гаднын инженер бус хүнээр бодитоор шалгуулсан дүн байхгүй; доорх нь урьдчилсан self-audit.</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Өмнөх өгүүлбэр</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Нуугдсан мэдлэг</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Энгийн засвар</w:t>
            </w:r>
          </w:p>
        </w:tc>
      </w:tr>
      <w:tr>
        <w:trPr/>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w:t>
            </w:r>
            <w:r>
              <w:rPr>
                <w:color w:val="000000"/>
                <w:sz w:val="16"/>
              </w:rPr>
              <w:t xml:space="preserve">Стандарт stack-аа асаагаад ердийн seed ажиллуул.</w:t>
            </w:r>
            <w:r>
              <w:rPr>
                <w:color w:val="000000"/>
                <w:sz w:val="16"/>
              </w:rPr>
              <w:t xml:space="preserve">”</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Тушаал, үр дүн алга.</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w:t>
            </w:r>
            <w:r>
              <w:rPr>
                <w:color w:val="000000"/>
                <w:sz w:val="16"/>
              </w:rPr>
              <w:t xml:space="preserve">Эхлээд docker compose up -d; дараа нь python scripts/seed.py ажиллуул. Menu-д жишээ хоол гарна.</w:t>
            </w:r>
            <w:r>
              <w:rPr>
                <w:color w:val="000000"/>
                <w:sz w:val="16"/>
              </w:rPr>
              <w:t xml:space="preserve">”</w:t>
            </w:r>
          </w:p>
        </w:tc>
      </w:tr>
      <w:tr>
        <w:trPr/>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w:t>
            </w:r>
            <w:r>
              <w:rPr>
                <w:color w:val="000000"/>
                <w:sz w:val="16"/>
              </w:rPr>
              <w:t xml:space="preserve">Protected route-уудаас өмнө энгийн bearer flow ашигла.</w:t>
            </w:r>
            <w:r>
              <w:rPr>
                <w:color w:val="000000"/>
                <w:sz w:val="16"/>
              </w:rPr>
              <w:t xml:space="preserve">”</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Token хаанаас авах, хаана хийх нь алга.</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w:t>
            </w:r>
            <w:r>
              <w:rPr>
                <w:color w:val="000000"/>
                <w:sz w:val="16"/>
              </w:rPr>
              <w:t xml:space="preserve">Нэвтэрч token аваад API хүсэлтдээ Authorization: Bearer</w:t>
            </w:r>
            <w:r>
              <w:rPr>
                <w:color w:val="000000"/>
                <w:sz w:val="16"/>
              </w:rPr>
              <w:t xml:space="preserve"> </w:t>
            </w:r>
            <w:r>
              <w:rPr>
                <w:color w:val="000000"/>
                <w:sz w:val="16"/>
              </w:rPr>
              <w:t xml:space="preserve"> </w:t>
            </w:r>
            <w:r>
              <w:rPr>
                <w:color w:val="000000"/>
                <w:sz w:val="16"/>
              </w:rPr>
              <w:t xml:space="preserve">header нэм.</w:t>
            </w:r>
            <w:r>
              <w:rPr>
                <w:color w:val="000000"/>
                <w:sz w:val="16"/>
              </w:rPr>
              <w:t xml:space="preserve">”</w:t>
            </w:r>
          </w:p>
        </w:tc>
      </w:tr>
      <w:tr>
        <w:trPr/>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w:t>
            </w:r>
            <w:r>
              <w:rPr>
                <w:color w:val="000000"/>
                <w:sz w:val="16"/>
              </w:rPr>
              <w:t xml:space="preserve">Retry хийхэд idempotency автоматаар ажиллана.</w:t>
            </w:r>
            <w:r>
              <w:rPr>
                <w:color w:val="000000"/>
                <w:sz w:val="16"/>
              </w:rPr>
              <w:t xml:space="preserve">”</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Key, хугацааны хязгаар алга.</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w:t>
            </w:r>
            <w:r>
              <w:rPr>
                <w:color w:val="000000"/>
                <w:sz w:val="16"/>
              </w:rPr>
              <w:t xml:space="preserve">Давхар захиалга үүсгэхгүй байхын тулд POST /orders-д давтагдашгүй Idempotency-Key өг. Ижил key 24 цагийн дотор дахин захиалга үүсгэхгүй.</w:t>
            </w:r>
            <w:r>
              <w:rPr>
                <w:color w:val="000000"/>
                <w:sz w:val="16"/>
              </w:rPr>
              <w:t xml:space="preserve">”</w:t>
            </w:r>
          </w:p>
        </w:tc>
      </w:tr>
    </w:tbl>
    <w:p>
      <w:pPr>
        <w:pStyle w:val="BodyText"/>
      </w:pPr>
      <w:r>
        <w:t xml:space="preserve">Гурав дахь засварт хэрэглэгчид чухал үр дүн болох</w:t>
      </w:r>
      <w:r>
        <w:t xml:space="preserve"> </w:t>
      </w:r>
      <w:r>
        <w:t xml:space="preserve">“</w:t>
      </w:r>
      <w:r>
        <w:t xml:space="preserve">давхар захиалга үүсгэхгүй</w:t>
      </w:r>
      <w:r>
        <w:t xml:space="preserve">”</w:t>
      </w:r>
      <w:r>
        <w:t xml:space="preserve">-г эхэнд тавьж, дараа нь key-г тайлбарласан. Инженер бус уншигчаас</w:t>
      </w:r>
      <w:r>
        <w:t xml:space="preserve"> </w:t>
      </w:r>
      <w:r>
        <w:t xml:space="preserve">“</w:t>
      </w:r>
      <w:r>
        <w:t xml:space="preserve">дараа нь дэлгэцэд юу харагдах вэ?</w:t>
      </w:r>
      <w:r>
        <w:t xml:space="preserve">”</w:t>
      </w:r>
      <w:r>
        <w:t xml:space="preserve">,</w:t>
      </w:r>
      <w:r>
        <w:t xml:space="preserve"> </w:t>
      </w:r>
      <w:r>
        <w:t xml:space="preserve">“</w:t>
      </w:r>
      <w:r>
        <w:t xml:space="preserve">token-ийг хаанаас авах вэ?</w:t>
      </w:r>
      <w:r>
        <w:t xml:space="preserve">”</w:t>
      </w:r>
      <w:r>
        <w:t xml:space="preserve">,</w:t>
      </w:r>
      <w:r>
        <w:t xml:space="preserve"> </w:t>
      </w:r>
      <w:r>
        <w:t xml:space="preserve">“</w:t>
      </w:r>
      <w:r>
        <w:t xml:space="preserve">захиалга давхардахгүйг яаж мэдэх вэ?</w:t>
      </w:r>
      <w:r>
        <w:t xml:space="preserve">”</w:t>
      </w:r>
      <w:r>
        <w:t xml:space="preserve"> </w:t>
      </w:r>
      <w:r>
        <w:t xml:space="preserve">гэж асууж, бодит хариултыг review-д тэмдэглэх ёстой.</w:t>
      </w:r>
    </w:p>
    <w:bookmarkEnd w:id="38"/>
    <w:bookmarkStart w:id="39" w:name="writer-in-the-middle-багт-өгөх-үнэ-цэнэ"/>
    <w:p>
      <w:pPr>
        <w:pStyle w:val="Heading2"/>
      </w:pPr>
      <w:r>
        <w:t xml:space="preserve">4 Writer in the Middle багт өгөх үнэ цэнэ</w:t>
      </w:r>
    </w:p>
    <w:p>
      <w:pPr>
        <w:pStyle w:val="FirstParagraph"/>
      </w:pPr>
      <w:r>
        <w:t xml:space="preserve">FoodFlow багийн баримт бичиг бичигч нь marketing, product, sales, support, DevRel, engineering, machine readers-ийн хооронд нэг ойлголт дамжуулах хүн байна. Marketing-д</w:t>
      </w:r>
      <w:r>
        <w:t xml:space="preserve"> </w:t>
      </w:r>
      <w:r>
        <w:t xml:space="preserve">“</w:t>
      </w:r>
      <w:r>
        <w:t xml:space="preserve">idempotent API</w:t>
      </w:r>
      <w:r>
        <w:t xml:space="preserve">”</w:t>
      </w:r>
      <w:r>
        <w:t xml:space="preserve">-г</w:t>
      </w:r>
      <w:r>
        <w:t xml:space="preserve"> </w:t>
      </w:r>
      <w:r>
        <w:t xml:space="preserve">“</w:t>
      </w:r>
      <w:r>
        <w:t xml:space="preserve">давхар захиалга үүсэхээс сэргийлнэ</w:t>
      </w:r>
      <w:r>
        <w:t xml:space="preserve">”</w:t>
      </w:r>
      <w:r>
        <w:t xml:space="preserve"> </w:t>
      </w:r>
      <w:r>
        <w:t xml:space="preserve">гэж тайлбарлана. Product-д захиалгыг цуцлах хүсэлт аль төлөв хүртэл үйлчлэхийг FR-13-тай холбоно. Sales-д QPay, карт, бэлэн мөнгөний сонголтыг батлагдаагүй үйлчилгээ мэт хэт амлахгүй. Support-д 409 алдаа гарвал хэрэглэгчид дараа нь юу хийхийг хэлэх заавар өгнө. DevRel-д token авах, Menu унших, Order үүсгэх жишээг нэг дарааллаар бэлдэнэ. Engineering-д FR-11, test, C4, ADR-003 хооронд холбоос үүсгэнэ. Machine readers-д OpenAPI schema болон тогтмол code, message талбар машинд уншигдах гэрээ болно.</w:t>
      </w:r>
    </w:p>
    <w:p>
      <w:pPr>
        <w:pStyle w:val="BodyText"/>
      </w:pPr>
      <w:r>
        <w:t xml:space="preserve">Энэ долоон ажил нь файл бичихээс илүү утгатай. Бичигч backend багийн бодит боломжийг асууж, frontend багийн хэрэглэх үгийг тохируулж, support-ийн мэдэх ёстой алдааг нэг загварт оруулна. Саруул хоолоо захиалж буй эцсийн хүн боловч Ану API-г буруу ойлговол Саруулын дэлгэцэд төлбөрийн алдаа буруу харагдана. End-end user гэдэг нь зөвхөн README уншигч биш, уншигчийн хийсэн бүтээгдэхүүнийг ашиглах хүн юм. Би нэгж бүрийн эзнээс баримтын утгыг баталгаажуулж, батлагдаагүй шийдвэрийг тодорхойгүй гэж тэмдэглэнэ. Ингэвэл дараа нь хэн нэгэн кодыг уншаад санааг таах шаардлага багасна.</w:t>
      </w:r>
    </w:p>
    <w:bookmarkEnd w:id="39"/>
    <w:bookmarkStart w:id="41" w:name="заавал-хийх-ue-1-corg.ly"/>
    <w:p>
      <w:pPr>
        <w:pStyle w:val="Heading2"/>
      </w:pPr>
      <w:r>
        <w:t xml:space="preserve">5 Заавал хийх UE-1 Corg.ly</w:t>
      </w:r>
    </w:p>
    <w:p>
      <w:pPr>
        <w:pStyle w:val="FirstParagraph"/>
      </w:pPr>
      <w:hyperlink r:id="rId40">
        <w:r>
          <w:rPr>
            <w:rStyle w:val="Hyperlink"/>
          </w:rPr>
          <w:t xml:space="preserve">UE-1-ийн тусдаа Markdown баримт</w:t>
        </w:r>
      </w:hyperlink>
      <w:r>
        <w:t xml:space="preserve">-д Pet Translation API-ийн developer persona, гурван README жишээний before/after, Charlotte-ийн launch-ийн тайлбар бий. Тэдгээр нь сургалтын зохиомол өгүүлбэрүүд; Corg.ly-ийн бодит README-ээс шууд хуулсан гэхгүй.</w:t>
      </w:r>
    </w:p>
    <w:bookmarkEnd w:id="41"/>
    <w:bookmarkStart w:id="42" w:name="хийсэн-ажил-ба-гаднын-баталгаажуулалт"/>
    <w:p>
      <w:pPr>
        <w:pStyle w:val="Heading2"/>
      </w:pPr>
      <w:r>
        <w:t xml:space="preserve">6 Хийсэн ажил ба гаднын баталгаажуулалт</w:t>
      </w:r>
    </w:p>
    <w:tbl>
      <w:tblPr>
        <w:tblStyle w:val="Table"/>
        <w:tblW w:type="pct" w:w="5000"/>
        <w:jc w:val="center"/>
        <w:tblLook w:firstRow="1" w:lastRow="0" w:firstColumn="0" w:lastColumn="0" w:noHBand="0" w:noVBand="0" w:val="0020"/>
      </w:tblPr>
      <w:tblGrid>
        <w:gridCol w:w="3960"/>
        <w:gridCol w:w="3960"/>
      </w:tblGrid>
      <w:tr>
        <w:trPr>
          <w:tblHeader w:val="true"/>
        </w:trPr>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Шалгуур</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Байдал</w:t>
            </w:r>
          </w:p>
        </w:tc>
      </w:tr>
      <w:tr>
        <w:trPr/>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3 repo × 4 төрөл, persona, 3 diff, ойролцоогоор 200 үгийн тайлбар, UE-1</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Бэлэн.</w:t>
            </w:r>
          </w:p>
        </w:tc>
      </w:tr>
      <w:tr>
        <w:trPr/>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Confluence wiki-д нийтлэх, LMS quiz ≥80%</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Course workspace ба бодит quiz-ийн үр дүн шаардлагатай; биелсэн гэж мэдүүлээгүй.</w:t>
            </w:r>
          </w:p>
        </w:tc>
      </w:tr>
      <w:tr>
        <w:trPr/>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Инженер бус хүнээс ярилцлага авч persona/README шалгах</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Асуултууд бэлэн; бодит хариулт хүлээгдэнэ.</w:t>
            </w:r>
          </w:p>
        </w:tc>
      </w:tr>
    </w:tbl>
    <w:p>
      <w:pPr>
        <w:pStyle w:val="BodyText"/>
      </w:pPr>
      <w:r>
        <w:rPr>
          <w:bCs/>
          <w:b/>
        </w:rPr>
        <w:t xml:space="preserve">Эргэцүүлэл:</w:t>
      </w:r>
      <w:r>
        <w:t xml:space="preserve"> </w:t>
      </w:r>
      <w:r>
        <w:t xml:space="preserve">Bhatti-ийн Curse of Knowledge (p. 3) нь</w:t>
      </w:r>
      <w:r>
        <w:t xml:space="preserve"> </w:t>
      </w:r>
      <w:r>
        <w:t xml:space="preserve">“</w:t>
      </w:r>
      <w:r>
        <w:t xml:space="preserve">ердийн seed</w:t>
      </w:r>
      <w:r>
        <w:t xml:space="preserve">”</w:t>
      </w:r>
      <w:r>
        <w:t xml:space="preserve"> </w:t>
      </w:r>
      <w:r>
        <w:t xml:space="preserve">гэх үг өөр хүний хувьд ойлгомжгүйг сануулав. Chinchilla-ийн дөрвөн төрлөөр салгах дүрэм (Ch. 2) нь нэг README-г бүх асуултад зориулж бичихээс сэргийлнэ. Бодит багийн хамгийн том зөрүү нь API-г өөрчилчихөөд auth болон алдааны баримтаа хоцроон шинэчлэх явдал.</w:t>
      </w:r>
    </w:p>
    <w:p>
      <w:pPr>
        <w:pStyle w:val="BodyText"/>
      </w:pPr>
      <w:r>
        <w:rPr>
          <w:bCs/>
          <w:b/>
        </w:rPr>
        <w:t xml:space="preserve">Эх сурвалж:</w:t>
      </w:r>
      <w:r>
        <w:t xml:space="preserve"> </w:t>
      </w:r>
      <w:r>
        <w:t xml:space="preserve">Хавсаргасан Week 01 handout pp. 1–3, Lecture 01; Bhatti, Ch. 1, 3; Chinchilla, Ch. 1–2 (хуудасны заалтыг handout-аас авсан). Гадаад баримтын холбоосууд хүснэгтэд бий.</w:t>
      </w:r>
    </w:p>
    <w:bookmarkEnd w:id="42"/>
    <w:bookmarkEnd w:id="43"/>
    <w:bookmarkStart w:id="47" w:name="ue-1-corg.ly-pet-translation-api"/>
    <w:p>
      <w:pPr>
        <w:pStyle w:val="Heading1"/>
      </w:pPr>
      <w:r>
        <w:t xml:space="preserve">UE-1 Corg.ly Pet Translation API</w:t>
      </w:r>
    </w:p>
    <w:p>
      <w:pPr>
        <w:pStyle w:val="FirstParagraph"/>
      </w:pPr>
      <w:r>
        <w:t xml:space="preserve">Энэ бол Charlotte-ийн дүрд орж хийсэн сургалтын ажил. Corg.ly API болон доорх README өгүүлбэрүүд нь handout-ийн зохиомол жишээ; бодит үйлчилгээний гэрээ, бодит ярилцлагын тэмдэглэл биш.</w:t>
      </w:r>
    </w:p>
    <w:bookmarkStart w:id="44" w:name="a-developer-persona"/>
    <w:p>
      <w:pPr>
        <w:pStyle w:val="Heading2"/>
      </w:pPr>
      <w:r>
        <w:t xml:space="preserve">A Developer persona</w:t>
      </w:r>
    </w:p>
    <w:p>
      <w:pPr>
        <w:pStyle w:val="FirstParagraph"/>
      </w:pPr>
      <w:r>
        <w:t xml:space="preserve">Маяа бол зохиомол PawTech Studio компанийн mobile developer. Flutter, Dart, Postman, GitHub Actions хэрэглэж, Pet Translation API-г нэг өдөрт туршилтын апптай холбох зорилготой. Түүнд token авах газар, request JSON-ийн хэлбэр, дэмжих хэл, rate limit, алдааны үед хийх алхам чухал. Маяагийн аппын эцсийн хэрэглэгч нохойн дууны тайлбарыг ойлгомжтой харахыг хүснэ.</w:t>
      </w:r>
    </w:p>
    <w:p>
      <w:pPr>
        <w:pStyle w:val="BodyText"/>
      </w:pPr>
      <w:r>
        <w:t xml:space="preserve">Зохиосон хэллэг:</w:t>
      </w:r>
      <w:r>
        <w:t xml:space="preserve"> </w:t>
      </w:r>
      <w:r>
        <w:t xml:space="preserve">“</w:t>
      </w:r>
      <w:r>
        <w:t xml:space="preserve">Request нэг удаа ажиллахыг харах хэрэгтэй. Token, хэлний код, алдааны жишээ гурвыг гурван өөр газраас хаймааргүй байна.</w:t>
      </w:r>
      <w:r>
        <w:t xml:space="preserve">”</w:t>
      </w:r>
    </w:p>
    <w:bookmarkEnd w:id="44"/>
    <w:bookmarkStart w:id="45" w:name="b-readme-ийн-гурван-өгүүлбэр"/>
    <w:p>
      <w:pPr>
        <w:pStyle w:val="Heading2"/>
      </w:pPr>
      <w:r>
        <w:t xml:space="preserve">B README-ийн гурван өгүүлбэр</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Өмнөх</w:t>
            </w:r>
            <w:r>
              <w:rPr>
                <w:color w:val="000000"/>
                <w:sz w:val="16"/>
              </w:rPr>
              <w:t xml:space="preserve"> </w:t>
            </w:r>
            <w:r>
              <w:rPr>
                <w:iCs/>
                <w:i/>
                <w:color w:val="000000"/>
                <w:sz w:val="16"/>
              </w:rPr>
              <w:t xml:space="preserve">зохиомол</w:t>
            </w:r>
            <w:r>
              <w:rPr>
                <w:color w:val="000000"/>
                <w:sz w:val="16"/>
              </w:rPr>
              <w:t xml:space="preserve"> </w:t>
            </w:r>
            <w:r>
              <w:rPr>
                <w:color w:val="000000"/>
                <w:sz w:val="16"/>
              </w:rPr>
              <w:t xml:space="preserve">өгүүлбэр</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Нуугдсан зүйл</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Тодорхой жишээ</w:t>
            </w:r>
          </w:p>
        </w:tc>
      </w:tr>
      <w:tr>
        <w:trPr/>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w:t>
            </w:r>
            <w:r>
              <w:rPr>
                <w:color w:val="000000"/>
                <w:sz w:val="16"/>
              </w:rPr>
              <w:t xml:space="preserve">Translate endpoint-д ердийн payload илгээ.</w:t>
            </w:r>
            <w:r>
              <w:rPr>
                <w:color w:val="000000"/>
                <w:sz w:val="16"/>
              </w:rPr>
              <w:t xml:space="preserve">”</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Endpoint, method, body алга.</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w:t>
            </w:r>
            <w:r>
              <w:rPr>
                <w:color w:val="000000"/>
                <w:sz w:val="16"/>
              </w:rPr>
              <w:t xml:space="preserve">POST /v1/translate хүсэлтэд text, sourceLanguage, targetLanguage бүхий JSON илгээ; translation талбар буцна.</w:t>
            </w:r>
            <w:r>
              <w:rPr>
                <w:color w:val="000000"/>
                <w:sz w:val="16"/>
              </w:rPr>
              <w:t xml:space="preserve">”</w:t>
            </w:r>
          </w:p>
        </w:tc>
      </w:tr>
      <w:tr>
        <w:trPr/>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w:t>
            </w:r>
            <w:r>
              <w:rPr>
                <w:color w:val="000000"/>
                <w:sz w:val="16"/>
              </w:rPr>
              <w:t xml:space="preserve">Default auth ашигла.</w:t>
            </w:r>
            <w:r>
              <w:rPr>
                <w:color w:val="000000"/>
                <w:sz w:val="16"/>
              </w:rPr>
              <w:t xml:space="preserve">”</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Key авах газар, header хэлбэр алга.</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w:t>
            </w:r>
            <w:r>
              <w:rPr>
                <w:color w:val="000000"/>
                <w:sz w:val="16"/>
              </w:rPr>
              <w:t xml:space="preserve">Dashboard-аас key аваад Authorization: Bearer</w:t>
            </w:r>
            <w:r>
              <w:rPr>
                <w:color w:val="000000"/>
                <w:sz w:val="16"/>
              </w:rPr>
              <w:t xml:space="preserve"> </w:t>
            </w:r>
            <w:r>
              <w:rPr>
                <w:color w:val="000000"/>
                <w:sz w:val="16"/>
              </w:rPr>
              <w:t xml:space="preserve"> </w:t>
            </w:r>
            <w:r>
              <w:rPr>
                <w:color w:val="000000"/>
                <w:sz w:val="16"/>
              </w:rPr>
              <w:t xml:space="preserve">header нэм; key-гээ GitHub-д бүү оруул.</w:t>
            </w:r>
            <w:r>
              <w:rPr>
                <w:color w:val="000000"/>
                <w:sz w:val="16"/>
              </w:rPr>
              <w:t xml:space="preserve">”</w:t>
            </w:r>
          </w:p>
        </w:tc>
      </w:tr>
      <w:tr>
        <w:trPr/>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w:t>
            </w:r>
            <w:r>
              <w:rPr>
                <w:color w:val="000000"/>
                <w:sz w:val="16"/>
              </w:rPr>
              <w:t xml:space="preserve">Transient алдаанд хэвийн retry хий.</w:t>
            </w:r>
            <w:r>
              <w:rPr>
                <w:color w:val="000000"/>
                <w:sz w:val="16"/>
              </w:rPr>
              <w:t xml:space="preserve">”</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Аль код, хэдэн удаа, хэдэн секунд гэдэг нь алга.</w:t>
            </w:r>
          </w:p>
        </w:tc>
        <w:tc>
          <w:tcPr>
            <w:vAlign w:val="center"/>
            <w:tcBorders>
              <w:top w:val="single" w:sz="4" w:color="000000"/>
              <w:left w:val="single" w:sz="4" w:color="000000"/>
              <w:bottom w:val="single" w:sz="4" w:color="000000"/>
              <w:right w:val="single" w:sz="4" w:color="000000"/>
            </w:tcBorders>
          </w:tcPr>
          <w:p>
            <w:pPr>
              <w:pStyle w:val="Compact"/>
              <w:spacing w:after="20"/>
              <w:jc w:val="left"/>
            </w:pPr>
            <w:r>
              <w:rPr>
                <w:color w:val="000000"/>
                <w:sz w:val="16"/>
              </w:rPr>
              <w:t xml:space="preserve">“</w:t>
            </w:r>
            <w:r>
              <w:rPr>
                <w:color w:val="000000"/>
                <w:sz w:val="16"/>
              </w:rPr>
              <w:t xml:space="preserve">HTTP 429 эсвэл 5xx үед 1, 2, 4 секунд хүлээгээд ихдээ 3 удаа оролд; validation 4xx-д retry бүү хий.</w:t>
            </w:r>
            <w:r>
              <w:rPr>
                <w:color w:val="000000"/>
                <w:sz w:val="16"/>
              </w:rPr>
              <w:t xml:space="preserve">”</w:t>
            </w:r>
          </w:p>
        </w:tc>
      </w:tr>
    </w:tbl>
    <w:p>
      <w:pPr>
        <w:pStyle w:val="BodyText"/>
      </w:pPr>
      <w:r>
        <w:t xml:space="preserve">Эдгээр endpoint, талбар, retry хугацааг Charlotte API эзнээс баталсны дараа л нийтэлнэ. Тодорхой харагдаж байгаа нь үнэн гэсэн баталгаа биш.</w:t>
      </w:r>
    </w:p>
    <w:bookmarkEnd w:id="45"/>
    <w:bookmarkStart w:id="46" w:name="c-writer-in-the-middle"/>
    <w:p>
      <w:pPr>
        <w:pStyle w:val="Heading2"/>
      </w:pPr>
      <w:r>
        <w:t xml:space="preserve">C Writer in the Middle</w:t>
      </w:r>
    </w:p>
    <w:p>
      <w:pPr>
        <w:pStyle w:val="FirstParagraph"/>
      </w:pPr>
      <w:r>
        <w:t xml:space="preserve">Launch-ийн өмнө Charlotte маркетингийн амлалтыг API-ийн бодит хүрээтэй тулгана. API багаас хэлний код болон алдааны хариуг батлуулж, DevRel-д ажиллах request хүргэнэ. Support-д 429, 401, 5xx-г ялгах заавар өгнө. Маяа жишээг ойлгож ажиллуулбал түүний аппын эцсийн хэрэглэгчид зөв үр дүн харагдана.</w:t>
      </w:r>
    </w:p>
    <w:p>
      <w:pPr>
        <w:pStyle w:val="BodyText"/>
      </w:pPr>
      <w:r>
        <w:t xml:space="preserve">“</w:t>
      </w:r>
      <w:r>
        <w:t xml:space="preserve">Retry хэвийн</w:t>
      </w:r>
      <w:r>
        <w:t xml:space="preserve">”</w:t>
      </w:r>
      <w:r>
        <w:t xml:space="preserve"> </w:t>
      </w:r>
      <w:r>
        <w:t xml:space="preserve">гэдгийг итгэлтэй мэт бичихийн оронд бодлогыг инженерээс батлуулах, батлаагүйг ил тод тэмдэглэх нь бичигчийн хариуцлага. Ингэж Charlotte баг бүрийн хэлсэн зүйлийг нэг бодит, шалгаж болох баримтад холбож байна.</w:t>
      </w:r>
    </w:p>
    <w:p>
      <w:pPr>
        <w:pStyle w:val="BodyText"/>
      </w:pPr>
      <w:r>
        <w:rPr>
          <w:bCs/>
          <w:b/>
        </w:rPr>
        <w:t xml:space="preserve">Эх сурвалж:</w:t>
      </w:r>
      <w:r>
        <w:t xml:space="preserve"> </w:t>
      </w:r>
      <w:r>
        <w:t xml:space="preserve">Week 01 handout UE-1 (p. 2); Bhatti Ch. 1 pp. 1–3, 15–16; Chinchilla Ch. 1 p. 5 (хуудасны заалт handout-аас).</w:t>
      </w:r>
    </w:p>
    <w:bookmarkEnd w:id="46"/>
    <w:bookmarkEnd w:id="47"/>
    <w:sectPr>
      <w:headerReference w:type="default" r:id="rId9"/>
      <w:pgMar w:bottom="879" w:footer="0" w:header="0" w:left="964" w:right="964" w:top="9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269" w:lineRule="auto"/>
    </w:pPr>
    <w:rPr>
      <w:rFonts w:ascii="Liberation Sans" w:hAnsi="Liberation Sans"/>
      <w:b w:val="0"/>
      <w:color w:val="000000"/>
      <w:sz w:val="20"/>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60" w:before="0"/>
      <w:jc w:val="center"/>
    </w:pPr>
    <w:rPr>
      <w:rFonts w:ascii="Liberation Sans" w:asciiTheme="majorHAnsi" w:cstheme="majorBidi" w:eastAsiaTheme="majorEastAsia" w:hAnsi="Liberation Sans" w:hAnsiTheme="majorHAnsi"/>
      <w:b/>
      <w:bCs/>
      <w:color w:val="000000"/>
      <w:sz w:val="2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rFonts w:ascii="Liberation Sans" w:asciiTheme="majorHAnsi" w:cstheme="majorBidi" w:eastAsiaTheme="majorEastAsia" w:hAnsi="Liberation Sans" w:hAnsiTheme="majorHAnsi"/>
      <w:b/>
      <w:bCs/>
      <w:color w:val="000000"/>
      <w:sz w:val="26"/>
      <w:szCs w:val="32"/>
    </w:rPr>
  </w:style>
  <w:style w:styleId="Heading2" w:type="paragraph">
    <w:name w:val="Heading 2"/>
    <w:basedOn w:val="Normal"/>
    <w:next w:val="BodyText"/>
    <w:uiPriority w:val="9"/>
    <w:unhideWhenUsed/>
    <w:qFormat/>
    <w:pPr>
      <w:keepNext/>
      <w:keepLines/>
      <w:spacing w:after="80" w:before="200"/>
      <w:outlineLvl w:val="1"/>
    </w:pPr>
    <w:rPr>
      <w:rFonts w:ascii="Liberation Sans" w:asciiTheme="majorHAnsi" w:cstheme="majorBidi" w:eastAsiaTheme="majorEastAsia" w:hAnsi="Liberation Sans" w:hAnsiTheme="majorHAnsi"/>
      <w:b/>
      <w:bCs/>
      <w:color w:val="000000"/>
      <w:sz w:val="22"/>
      <w:szCs w:val="28"/>
    </w:rPr>
  </w:style>
  <w:style w:styleId="Heading3" w:type="paragraph">
    <w:name w:val="Heading 3"/>
    <w:basedOn w:val="Normal"/>
    <w:next w:val="BodyText"/>
    <w:uiPriority w:val="9"/>
    <w:unhideWhenUsed/>
    <w:qFormat/>
    <w:pPr>
      <w:keepNext/>
      <w:keepLines/>
      <w:spacing w:after="60" w:before="160"/>
      <w:outlineLvl w:val="2"/>
    </w:pPr>
    <w:rPr>
      <w:rFonts w:ascii="Liberation Sans" w:asciiTheme="majorHAnsi" w:cstheme="majorBidi" w:eastAsiaTheme="majorEastAsia" w:hAnsi="Liberation Sans" w:hAnsiTheme="majorHAnsi"/>
      <w:b/>
      <w:bCs/>
      <w:color w:val="000000"/>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80" w:before="80"/>
    </w:pPr>
    <w:rPr>
      <w:rFonts w:ascii="Liberation Sans" w:hAnsi="Liberation Sans"/>
      <w:b w:val="0"/>
      <w:i/>
      <w:color w:val="000000"/>
      <w:sz w:val="18"/>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0" Type="http://schemas.openxmlformats.org/officeDocument/2006/relationships/hyperlink" Target="exercises/UE-1-Corgly.md" TargetMode="External"/><Relationship Id="rId24" Type="http://schemas.openxmlformats.org/officeDocument/2006/relationships/hyperlink" Target="https://docs.djangoproject.com/en/5.2/intro/install/" TargetMode="External"/><Relationship Id="rId25" Type="http://schemas.openxmlformats.org/officeDocument/2006/relationships/hyperlink" Target="https://docs.djangoproject.com/en/5.2/intro/tutorial01/" TargetMode="External"/><Relationship Id="rId26" Type="http://schemas.openxmlformats.org/officeDocument/2006/relationships/hyperlink" Target="https://docs.djangoproject.com/en/5.2/ref/models/" TargetMode="External"/><Relationship Id="rId27" Type="http://schemas.openxmlformats.org/officeDocument/2006/relationships/hyperlink" Target="https://docs.djangoproject.com/en/5.2/ref/models/querysets/" TargetMode="External"/><Relationship Id="rId22" Type="http://schemas.openxmlformats.org/officeDocument/2006/relationships/hyperlink" Target="https://fastapi.tiangolo.com/reference/" TargetMode="External"/><Relationship Id="rId21" Type="http://schemas.openxmlformats.org/officeDocument/2006/relationships/hyperlink" Target="https://fastapi.tiangolo.com/tutorial/" TargetMode="External"/><Relationship Id="rId20" Type="http://schemas.openxmlformats.org/officeDocument/2006/relationships/hyperlink" Target="https://fastapi.tiangolo.com/tutorial/first-steps/" TargetMode="External"/><Relationship Id="rId23" Type="http://schemas.openxmlformats.org/officeDocument/2006/relationships/hyperlink" Target="https://fastapi.tiangolo.com/tutorial/first-steps/#interactive-api-docs" TargetMode="External"/><Relationship Id="rId35" Type="http://schemas.openxmlformats.org/officeDocument/2006/relationships/hyperlink" Target="https://github.com/fastapi/fastapi/discussions/11161" TargetMode="External"/><Relationship Id="rId33" Type="http://schemas.openxmlformats.org/officeDocument/2006/relationships/hyperlink" Target="https://github.com/fastapi/fastapi/discussions/5827" TargetMode="External"/><Relationship Id="rId30" Type="http://schemas.openxmlformats.org/officeDocument/2006/relationships/hyperlink" Target="https://numpy.org/doc/stable/reference/arrays" TargetMode="External"/><Relationship Id="rId31" Type="http://schemas.openxmlformats.org/officeDocument/2006/relationships/hyperlink" Target="https://numpy.org/doc/stable/reference/generated/numpy.array.html" TargetMode="External"/><Relationship Id="rId28" Type="http://schemas.openxmlformats.org/officeDocument/2006/relationships/hyperlink" Target="https://numpy.org/doc/stable/user/absolute_beginners" TargetMode="External"/><Relationship Id="rId29" Type="http://schemas.openxmlformats.org/officeDocument/2006/relationships/hyperlink" Target="https://numpy.org/doc/stable/user/quickstart" TargetMode="External"/><Relationship Id="rId34" Type="http://schemas.openxmlformats.org/officeDocument/2006/relationships/hyperlink" Target="https://stackoverflow.com/questions/76598428/discrepancy-in-api-response-structure-between-frontend-and-backend" TargetMode="External"/><Relationship Id="rId37" Type="http://schemas.openxmlformats.org/officeDocument/2006/relationships/hyperlink" Target="project/README-v0.1.md" TargetMode="Externa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40" Type="http://schemas.openxmlformats.org/officeDocument/2006/relationships/hyperlink" Target="exercises/UE-1-Corgly.md" TargetMode="External"/><Relationship Id="rId24" Type="http://schemas.openxmlformats.org/officeDocument/2006/relationships/hyperlink" Target="https://docs.djangoproject.com/en/5.2/intro/install/" TargetMode="External"/><Relationship Id="rId25" Type="http://schemas.openxmlformats.org/officeDocument/2006/relationships/hyperlink" Target="https://docs.djangoproject.com/en/5.2/intro/tutorial01/" TargetMode="External"/><Relationship Id="rId26" Type="http://schemas.openxmlformats.org/officeDocument/2006/relationships/hyperlink" Target="https://docs.djangoproject.com/en/5.2/ref/models/" TargetMode="External"/><Relationship Id="rId27" Type="http://schemas.openxmlformats.org/officeDocument/2006/relationships/hyperlink" Target="https://docs.djangoproject.com/en/5.2/ref/models/querysets/" TargetMode="External"/><Relationship Id="rId22" Type="http://schemas.openxmlformats.org/officeDocument/2006/relationships/hyperlink" Target="https://fastapi.tiangolo.com/reference/" TargetMode="External"/><Relationship Id="rId21" Type="http://schemas.openxmlformats.org/officeDocument/2006/relationships/hyperlink" Target="https://fastapi.tiangolo.com/tutorial/" TargetMode="External"/><Relationship Id="rId20" Type="http://schemas.openxmlformats.org/officeDocument/2006/relationships/hyperlink" Target="https://fastapi.tiangolo.com/tutorial/first-steps/" TargetMode="External"/><Relationship Id="rId23" Type="http://schemas.openxmlformats.org/officeDocument/2006/relationships/hyperlink" Target="https://fastapi.tiangolo.com/tutorial/first-steps/#interactive-api-docs" TargetMode="External"/><Relationship Id="rId35" Type="http://schemas.openxmlformats.org/officeDocument/2006/relationships/hyperlink" Target="https://github.com/fastapi/fastapi/discussions/11161" TargetMode="External"/><Relationship Id="rId33" Type="http://schemas.openxmlformats.org/officeDocument/2006/relationships/hyperlink" Target="https://github.com/fastapi/fastapi/discussions/5827" TargetMode="External"/><Relationship Id="rId30" Type="http://schemas.openxmlformats.org/officeDocument/2006/relationships/hyperlink" Target="https://numpy.org/doc/stable/reference/arrays" TargetMode="External"/><Relationship Id="rId31" Type="http://schemas.openxmlformats.org/officeDocument/2006/relationships/hyperlink" Target="https://numpy.org/doc/stable/reference/generated/numpy.array.html" TargetMode="External"/><Relationship Id="rId28" Type="http://schemas.openxmlformats.org/officeDocument/2006/relationships/hyperlink" Target="https://numpy.org/doc/stable/user/absolute_beginners" TargetMode="External"/><Relationship Id="rId29" Type="http://schemas.openxmlformats.org/officeDocument/2006/relationships/hyperlink" Target="https://numpy.org/doc/stable/user/quickstart" TargetMode="External"/><Relationship Id="rId34" Type="http://schemas.openxmlformats.org/officeDocument/2006/relationships/hyperlink" Target="https://stackoverflow.com/questions/76598428/discrepancy-in-api-response-structure-between-frontend-and-backend" TargetMode="External"/><Relationship Id="rId37" Type="http://schemas.openxmlformats.org/officeDocument/2006/relationships/hyperlink" Target="project/README-v0.1.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2026-09-28T13:15:42Z</dcterms:created>
  <dcterms:modified xsi:type="dcterms:W3CDTF">2026-09-28T13:15:42Z</dcterms:modified>
</cp:coreProperties>
</file>

<file path=docProps/custom.xml><?xml version="1.0" encoding="utf-8"?>
<Properties xmlns="http://schemas.openxmlformats.org/officeDocument/2006/custom-properties" xmlns:vt="http://schemas.openxmlformats.org/officeDocument/2006/docPropsVTypes"/>
</file>