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2095a4ac10bbc2797382dc3e63c3ad1e4db12d2"/>
    <w:p>
      <w:pPr>
        <w:pStyle w:val="Heading1"/>
      </w:pPr>
      <w:r>
        <w:t xml:space="preserve">Лабораторийн ажил 2 SRS-ийн хүрээ ба мөрдөх хүснэгт</w:t>
      </w:r>
    </w:p>
    <w:p>
      <w:pPr>
        <w:pStyle w:val="FirstParagraph"/>
      </w:pPr>
      <w:r>
        <w:rPr>
          <w:bCs/>
          <w:b/>
        </w:rPr>
        <w:t xml:space="preserve">Төсөл:</w:t>
      </w:r>
      <w:r>
        <w:t xml:space="preserve"> </w:t>
      </w:r>
      <w:r>
        <w:t xml:space="preserve">FoodFlow. Энэ долоо хоногт ямар шаардлагыг баримтад оруулах, ямар хэсгийг дараа бичих, таван шаардлагыг яаж шалгахыг тогтоов. IEEE 830-ийг SRS-ийн бүтэц, ISO/IEC/IEEE 29148-ийн найман шинжийг шаардлагаа хянах шалгуур болгож хэрэглэсэн.</w:t>
      </w:r>
    </w:p>
    <w:bookmarkStart w:id="21" w:name="нэг-хуудасны-srs-scope-charter"/>
    <w:p>
      <w:pPr>
        <w:pStyle w:val="Heading2"/>
      </w:pPr>
      <w:r>
        <w:t xml:space="preserve">1 Нэг хуудасны SRS Scope Charter</w:t>
      </w:r>
    </w:p>
    <w:p>
      <w:pPr>
        <w:pStyle w:val="FirstParagraph"/>
      </w:pPr>
      <w:r>
        <w:rPr>
          <w:bCs/>
          <w:b/>
        </w:rPr>
        <w:t xml:space="preserve">Зорилго:</w:t>
      </w:r>
      <w:r>
        <w:t xml:space="preserve"> </w:t>
      </w:r>
      <w:r>
        <w:t xml:space="preserve">Нэвтэрсэн хэрэглэгч хоол сонгоод сагслах, хаяг ба төлбөрийн арга оруулж захиалах, төлөв/түүхээ харах FoodFlow-ийн эхний хувилбарыг тайлбарлана. Уншигчид нь product owner, frontend/backend хөгжүүлэгч, QA, support баг. Систем ажиллаж эхэлсэн мэт дүр эсгээгүй; энэ бол баримтын хүлээгдэж буй хүрээ.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Шийдвэр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Функц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Яагаад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Оруулна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Menu list, search, food detail (FR-01–03)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Хүн сонголт хийхгүй бол захиалга эхлэхгүй.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Оруулна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Cart, тоо, устгах, нийт үнэ (FR-04–07)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Захиалахаасаа өмнө мөнгөн дүнг шалгах хэрэгтэй.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Оруулна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Хаяг, хүргэлтийн цаг, төлбөр, захиалга (FR-08–11)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Эхний хувилбарын үндсэн гүйлгээ.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Оруулна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Төлөв, цуцлалт, түүх, баталгаажуулалт (FR-12–15)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Нэг удаагийн захиалгаас цааш хэрэглэгчээ дэмжинэ.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Хасна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Рестораны admin CMS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Энэ баримт customer талын release-1-ийг тодорхойлно; partner бүтээгдэхүүн тусдаа.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Хасна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Courier route optimization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Хүргэлтийн зам тооцоолох систем нь тусдаа ажиллагааны бүтээгдэхүүн.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Хасна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Картын нууц дугаарыг FoodFlow-д хадгалах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Payment provider төлбөрийн нууц мэдээллийг өөрөө боловсруулна.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Хойшлуулна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Promo, loyalty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Эхний захиалгын үндсэн урсгалд заавал хэрэггүй.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Хойшлуулна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Газрын зураг дээр live courier харах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Release-1-д текст төлөв хангалттай; дараа үр ашгийг шалгана.</w:t>
            </w:r>
          </w:p>
        </w:tc>
      </w:tr>
    </w:tbl>
    <w:p>
      <w:pPr>
        <w:pStyle w:val="BodyText"/>
      </w:pPr>
      <w:r>
        <w:rPr>
          <w:bCs/>
          <w:b/>
        </w:rPr>
        <w:t xml:space="preserve">Хил ба таамаг:</w:t>
      </w:r>
      <w:r>
        <w:t xml:space="preserve"> </w:t>
      </w:r>
      <w:r>
        <w:t xml:space="preserve">Веб хэрэглэгчийн хэсэг HTTPS/JSON API-тай ажиллана; төлбөр, мессеж хоёр нь гаднах үйлчилгээ. Захиалгын нийт дүн төгрөгөөр тооцогдоно. Сонголт/хасалт өөрчлөгдвөл FR болон W04-ийн архитектурын холбоосыг шинэчилнэ.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Just enough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шийдвэр:</w:t>
      </w:r>
      <w:r>
        <w:t xml:space="preserve"> </w:t>
      </w:r>
      <w:r>
        <w:t xml:space="preserve">Энэ хувилбарт зөвхөн хэрэглэгчийн нэг захиалгыг эхнээс нь дуустал хийх мэдээллийг SRS-д орууллаа. Маркетингийн өсөлт, ресторан ажилтны бүрэн удирдлага, хүргэлтийн замын алгоритмыг одоо дэлгэрүүлбэл шалгах боломжтой үндсэн 20 шаардлагаа будлиулна.</w:t>
      </w:r>
    </w:p>
    <w:p>
      <w:pPr>
        <w:pStyle w:val="BodyText"/>
      </w:pPr>
      <w:r>
        <w:t xml:space="preserve">Тусад нь хэвлэхэд зориулсан</w:t>
      </w:r>
      <w:r>
        <w:t xml:space="preserve"> </w:t>
      </w:r>
      <w:hyperlink r:id="rId20">
        <w:r>
          <w:rPr>
            <w:rStyle w:val="Hyperlink"/>
          </w:rPr>
          <w:t xml:space="preserve">Scope Charter</w:t>
        </w:r>
      </w:hyperlink>
      <w:r>
        <w:t xml:space="preserve"> </w:t>
      </w:r>
      <w:r>
        <w:t xml:space="preserve">файлд энэ хэсгийн хуулбар бий.</w:t>
      </w:r>
    </w:p>
    <w:bookmarkEnd w:id="21"/>
    <w:bookmarkStart w:id="22" w:name="Xc66c17878a0515ba30b1b29dcc794789c19cd93"/>
    <w:p>
      <w:pPr>
        <w:pStyle w:val="Heading2"/>
      </w:pPr>
      <w:r>
        <w:t xml:space="preserve">2 IEEE 830-ийн хэсгүүдийг FoodFlow-д байрлуулах нь</w:t>
      </w:r>
    </w:p>
    <w:p>
      <w:pPr>
        <w:pStyle w:val="FirstParagraph"/>
      </w:pPr>
      <w:r>
        <w:t xml:space="preserve">Энд нэг мөрд яг нэг төлөв өгсөн:</w:t>
      </w:r>
      <w:r>
        <w:t xml:space="preserve"> </w:t>
      </w:r>
      <w:r>
        <w:rPr>
          <w:bCs/>
          <w:b/>
        </w:rPr>
        <w:t xml:space="preserve">complete</w:t>
      </w:r>
      <w:r>
        <w:t xml:space="preserve">,</w:t>
      </w:r>
      <w:r>
        <w:t xml:space="preserve"> </w:t>
      </w:r>
      <w:r>
        <w:rPr>
          <w:bCs/>
          <w:b/>
        </w:rPr>
        <w:t xml:space="preserve">planned W3</w:t>
      </w:r>
      <w:r>
        <w:t xml:space="preserve"> </w:t>
      </w:r>
      <w:r>
        <w:t xml:space="preserve">эсвэл</w:t>
      </w:r>
      <w:r>
        <w:t xml:space="preserve"> </w:t>
      </w:r>
      <w:r>
        <w:rPr>
          <w:bCs/>
          <w:b/>
        </w:rPr>
        <w:t xml:space="preserve">n-a</w:t>
      </w:r>
      <w:r>
        <w:t xml:space="preserve">. W02-ын үеийн зураглал учраас W03-д дараа нь хийсэн зүйлсийг W02 дээр</w:t>
      </w:r>
      <w:r>
        <w:t xml:space="preserve"> </w:t>
      </w:r>
      <w:r>
        <w:t xml:space="preserve">“</w:t>
      </w:r>
      <w:r>
        <w:t xml:space="preserve">complete</w:t>
      </w:r>
      <w:r>
        <w:t xml:space="preserve">”</w:t>
      </w:r>
      <w:r>
        <w:t xml:space="preserve"> </w:t>
      </w:r>
      <w:r>
        <w:t xml:space="preserve">гэж буцаан бичээгүй.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IEEE 830-ийн хэсэг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FoodFlow-д бичих агуулга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W02 үеийн төлөв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Учир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1.1 Purpose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SRS-ийг хэн, юунд ашиглах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complete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Charter-ийн зорилго бичигдсэн.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1.2 Scope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Release-1 болон гаднах зүйлс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complete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Дээрх оруулах/хасах шийдвэр бий.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1.3 Definitions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FR, NFR, order, idempotency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planned W3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W03 хавсралтын нэр томьёонд бичнэ.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1.4 References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Лекц, handout, стандарт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complete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Доор жагсаав.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1.5 Overview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Баримтын хэсгийн танилцуулга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complete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Энэ зураглал өөрөө чиглүүлнэ.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2 Overall Description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Хэрэглэгч, хамаарал, хязгаар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planned W3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Хэрэглэгчийн урсгалаас дэлгэрүүлнэ.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3.1 External Interfaces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Веб UI, API, payment, notification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planned W3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Endpoint-ийн гэрээ W03-д эхэлнэ.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3.2 Functional Requirements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FR-01–15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planned W3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W02-д зөвхөн таван жишээ.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3.3 Performance/Quality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NFR-01–05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planned W3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W03-д таван хэмжүүр оруулна.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3.4 Design Constraints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HTTPS, raw card storage байхгүй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planned W3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Үүнийг архитектурын шийдэлтэй андуурахгүй.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Hardware Interfaces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Тусгай төхөөрөмжтэй шууд холболт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n-a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FoodFlow нь веб/HTTP систем; тусгай төхөөрөмжийн порт хэрэглэхгүй.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Appendices/Traceability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Эх сурвалж, test, glossary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planned W3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Доорх 8 баганатай хүснэгтийг өргөжүүлнэ.</w:t>
            </w:r>
          </w:p>
        </w:tc>
      </w:tr>
    </w:tbl>
    <w:p>
      <w:pPr>
        <w:pStyle w:val="BodyText"/>
      </w:pPr>
      <w:r>
        <w:t xml:space="preserve">SRS нь</w:t>
      </w:r>
      <w:r>
        <w:t xml:space="preserve"> </w:t>
      </w:r>
      <w:r>
        <w:rPr>
          <w:bCs/>
          <w:b/>
        </w:rPr>
        <w:t xml:space="preserve">систем юу хийхийг</w:t>
      </w:r>
      <w:r>
        <w:t xml:space="preserve"> </w:t>
      </w:r>
      <w:r>
        <w:t xml:space="preserve">хэлнэ. W04-ийн SDD/arc42 нь</w:t>
      </w:r>
      <w:r>
        <w:t xml:space="preserve"> </w:t>
      </w:r>
      <w:r>
        <w:rPr>
          <w:bCs/>
          <w:b/>
        </w:rPr>
        <w:t xml:space="preserve">хэсгүүд үүнийг яаж хувааж хэрэгжүүлэхийг</w:t>
      </w:r>
      <w:r>
        <w:t xml:space="preserve"> </w:t>
      </w:r>
      <w:r>
        <w:t xml:space="preserve">тайлбарлана. Жишээ нь</w:t>
      </w:r>
      <w:r>
        <w:t xml:space="preserve"> </w:t>
      </w:r>
      <w:r>
        <w:t xml:space="preserve">“</w:t>
      </w:r>
      <w:r>
        <w:t xml:space="preserve">нэг удаа захиалга үүснэ</w:t>
      </w:r>
      <w:r>
        <w:t xml:space="preserve">”</w:t>
      </w:r>
      <w:r>
        <w:t xml:space="preserve"> </w:t>
      </w:r>
      <w:r>
        <w:t xml:space="preserve">нь FR-11; Redis key ашиглах нь архитектурын шийдвэр.</w:t>
      </w:r>
    </w:p>
    <w:bookmarkEnd w:id="22"/>
    <w:bookmarkStart w:id="25" w:name="эхний-таван-шалгаж-болох-шаардлага"/>
    <w:p>
      <w:pPr>
        <w:pStyle w:val="Heading2"/>
      </w:pPr>
      <w:r>
        <w:t xml:space="preserve">3 Эхний таван шалгаж болох шаардлага</w:t>
      </w:r>
    </w:p>
    <w:p>
      <w:pPr>
        <w:pStyle w:val="FirstParagraph"/>
      </w:pPr>
      <w:r>
        <w:t xml:space="preserve">“</w:t>
      </w:r>
      <w:r>
        <w:t xml:space="preserve">MUST</w:t>
      </w:r>
      <w:r>
        <w:t xml:space="preserve">”</w:t>
      </w:r>
      <w:r>
        <w:t xml:space="preserve"> </w:t>
      </w:r>
      <w:r>
        <w:t xml:space="preserve">нь эхний хувилбарт заавал биелэх эрэмбэ. Өгүүлбэр дотор</w:t>
      </w:r>
      <w:r>
        <w:t xml:space="preserve"> </w:t>
      </w:r>
      <w:r>
        <w:t xml:space="preserve">“</w:t>
      </w:r>
      <w:r>
        <w:t xml:space="preserve">should</w:t>
      </w:r>
      <w:r>
        <w:t xml:space="preserve">”</w:t>
      </w:r>
      <w:r>
        <w:t xml:space="preserve"> </w:t>
      </w:r>
      <w:r>
        <w:t xml:space="preserve">гэх хэмжүүргүй сул үг ашиглаагүй.</w:t>
      </w:r>
      <w:r>
        <w:t xml:space="preserve"> </w:t>
      </w:r>
      <w:r>
        <w:rPr>
          <w:bCs/>
          <w:b/>
        </w:rPr>
        <w:t xml:space="preserve">Эзэн</w:t>
      </w:r>
      <w:r>
        <w:t xml:space="preserve"> </w:t>
      </w:r>
      <w:r>
        <w:t xml:space="preserve">гэдэг нь хянан батлах үүрэг; бодит хүний ярилцлага болсон гэж бичээгүй.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ID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Төрөл / эрэмбэ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Шаардлага ба pass/fail хязгаар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Шалгах арга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Эх сурвалж / эзэн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FR-01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FR / MUST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Идэвхтэй хоолны нэр, үнэ, зураг, товч тайлбарыг Menu-д харуулна; 10 active өгөгдлийн 10 нь харагдаж, inactive 0 байна.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Test, 10 active + 2 inactive fixture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FoodFlow хэрэглэгчийн урсгал; Product owner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FR-04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FR / MUST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Add to Cart хийхэд сонгосон food_id quantity=1-ээр сагсанд нэмэгдэнэ; badge +1, ID зөв байна.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Test, нэг click ба cart API шалгах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Анугийн UI/API холболтын хэрэгцээ; Frontend owner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FR-11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FR / MUST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Зөв сагс, хаяг, төлбөртэй үед Place Order яг нэг захиалга үүсгэж order_id буцаана; HTTP 201, duplicate=0.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Integration test, ижил Idempotency-Key-тэй 2 хүсэлт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Checkout story; Backend owner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NFR-01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NFR / MUST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Menu-ийн LCP 30 mobile run-ийн p75 дээр ≤2.5 секунд байна.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Analysis + performance test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Google web.dev + Akamai хурдны судалгаа; QA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NFR-03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NFR / MUST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Хэрэглэгч зөвхөн өөрийн order-ийг уншина; 100 эрхгүй хүсэлтээс мэдээлэл алдсан нь 0.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Security test, өөр user-ийн 100 ID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Номин support, Анугийн алдааны хэлбэр; Backend owner</w:t>
            </w:r>
          </w:p>
        </w:tc>
      </w:tr>
    </w:tbl>
    <w:p>
      <w:pPr>
        <w:pStyle w:val="BodyText"/>
      </w:pPr>
      <w:r>
        <w:rPr>
          <w:bCs/>
          <w:b/>
        </w:rPr>
        <w:t xml:space="preserve">Өгөгдсөн үед → хийхэд → ажиглах үр дүн.</w:t>
      </w:r>
      <w:r>
        <w:t xml:space="preserve"> </w:t>
      </w:r>
      <w:r>
        <w:t xml:space="preserve">FR-01: 10 active, 2 inactive хоол өгсөн үед Menu нээхэд active 10 харагдаж inactive 2 харагдахгүй. FR-04: хоосон cart өгсөн үед Burger-ийн Add дарахад cart-д Burger quantity=1 болно. FR-11: зөв checkout өгсөн үед ижил key-ээр хоёр удаа дарахад нэг order_id л үүснэ. NFR-01: 30 mobile run өгсөн үед p75 LCP 2.5 секундээс ихгүй. NFR-03: A хүн B-ийн 100 order ID туршихад ганц ч B-ийн өгөгдөл буцахгүй.</w:t>
      </w:r>
    </w:p>
    <w:p>
      <w:pPr>
        <w:pStyle w:val="BodyText"/>
      </w:pPr>
      <w:r>
        <w:t xml:space="preserve">NFR-01-ийн</w:t>
      </w:r>
      <w:r>
        <w:t xml:space="preserve"> </w:t>
      </w:r>
      <w:r>
        <w:rPr>
          <w:bCs/>
          <w:b/>
        </w:rPr>
        <w:t xml:space="preserve">2.5 секундын тоо</w:t>
      </w:r>
      <w:r>
        <w:t xml:space="preserve"> </w:t>
      </w:r>
      <w:r>
        <w:t xml:space="preserve">нь Google-ийн</w:t>
      </w:r>
      <w:r>
        <w:t xml:space="preserve"> </w:t>
      </w:r>
      <w:hyperlink r:id="rId23">
        <w:r>
          <w:rPr>
            <w:rStyle w:val="Hyperlink"/>
          </w:rPr>
          <w:t xml:space="preserve">LCP тайлбар</w:t>
        </w:r>
      </w:hyperlink>
      <w:r>
        <w:t xml:space="preserve">-аас; Akamai-ийн</w:t>
      </w:r>
      <w:r>
        <w:t xml:space="preserve"> </w:t>
      </w:r>
      <w:hyperlink r:id="rId24">
        <w:r>
          <w:rPr>
            <w:rStyle w:val="Hyperlink"/>
          </w:rPr>
          <w:t xml:space="preserve">e-commerce хурдны судалгаа</w:t>
        </w:r>
      </w:hyperlink>
      <w:r>
        <w:t xml:space="preserve"> </w:t>
      </w:r>
      <w:r>
        <w:t xml:space="preserve">нь удаашрал хэрэглэгчид нөлөөлдгийг дэмждэг. Akamai яг 2.5 секунд тогтоосон гэж мэдүүлээгүй; энэ хоёр эх сурвалжийн үүргийг ялгав.</w:t>
      </w:r>
    </w:p>
    <w:bookmarkEnd w:id="25"/>
    <w:bookmarkStart w:id="26" w:name="X0b382cc25abda70ef33ef7860ef964f323042fc"/>
    <w:p>
      <w:pPr>
        <w:pStyle w:val="Heading2"/>
      </w:pPr>
      <w:r>
        <w:t xml:space="preserve">4 ISO 29148-ийн найман шинжийг хурдан шалгах нь</w:t>
      </w:r>
    </w:p>
    <w:p>
      <w:pPr>
        <w:pStyle w:val="FirstParagraph"/>
      </w:pPr>
      <w:r>
        <w:rPr>
          <w:bCs/>
          <w:b/>
        </w:rPr>
        <w:t xml:space="preserve">Correct:</w:t>
      </w:r>
      <w:r>
        <w:t xml:space="preserve"> </w:t>
      </w:r>
      <w:r>
        <w:t xml:space="preserve">FoodFlow-ийн бодит хэрэгцээ мөн үү?</w:t>
      </w:r>
      <w:r>
        <w:t xml:space="preserve"> </w:t>
      </w:r>
      <w:r>
        <w:rPr>
          <w:bCs/>
          <w:b/>
        </w:rPr>
        <w:t xml:space="preserve">Unambiguous:</w:t>
      </w:r>
      <w:r>
        <w:t xml:space="preserve"> </w:t>
      </w:r>
      <w:r>
        <w:t xml:space="preserve">“</w:t>
      </w:r>
      <w:r>
        <w:t xml:space="preserve">хурдан</w:t>
      </w:r>
      <w:r>
        <w:t xml:space="preserve">”</w:t>
      </w:r>
      <w:r>
        <w:t xml:space="preserve"> </w:t>
      </w:r>
      <w:r>
        <w:t xml:space="preserve">гэх хоёр утгатай үг үлдсэн үү?</w:t>
      </w:r>
      <w:r>
        <w:t xml:space="preserve"> </w:t>
      </w:r>
      <w:r>
        <w:rPr>
          <w:bCs/>
          <w:b/>
        </w:rPr>
        <w:t xml:space="preserve">Complete:</w:t>
      </w:r>
      <w:r>
        <w:t xml:space="preserve"> </w:t>
      </w:r>
      <w:r>
        <w:t xml:space="preserve">оролт, үр дүн, алдаа бий юу?</w:t>
      </w:r>
      <w:r>
        <w:t xml:space="preserve"> </w:t>
      </w:r>
      <w:r>
        <w:rPr>
          <w:bCs/>
          <w:b/>
        </w:rPr>
        <w:t xml:space="preserve">Consistent:</w:t>
      </w:r>
      <w:r>
        <w:t xml:space="preserve"> </w:t>
      </w:r>
      <w:r>
        <w:t xml:space="preserve">FR-11-ийн үнэ FR-07-той зөрөх үү?</w:t>
      </w:r>
      <w:r>
        <w:t xml:space="preserve"> </w:t>
      </w:r>
      <w:r>
        <w:rPr>
          <w:bCs/>
          <w:b/>
        </w:rPr>
        <w:t xml:space="preserve">Ranked:</w:t>
      </w:r>
      <w:r>
        <w:t xml:space="preserve"> </w:t>
      </w:r>
      <w:r>
        <w:t xml:space="preserve">must/should/could нэг дүрэмтэй юу?</w:t>
      </w:r>
      <w:r>
        <w:t xml:space="preserve"> </w:t>
      </w:r>
      <w:r>
        <w:rPr>
          <w:bCs/>
          <w:b/>
        </w:rPr>
        <w:t xml:space="preserve">Verifiable:</w:t>
      </w:r>
      <w:r>
        <w:t xml:space="preserve"> </w:t>
      </w:r>
      <w:r>
        <w:t xml:space="preserve">pass/fail хэмжиж болох уу?</w:t>
      </w:r>
      <w:r>
        <w:t xml:space="preserve"> </w:t>
      </w:r>
      <w:r>
        <w:rPr>
          <w:bCs/>
          <w:b/>
        </w:rPr>
        <w:t xml:space="preserve">Modifiable:</w:t>
      </w:r>
      <w:r>
        <w:t xml:space="preserve"> </w:t>
      </w:r>
      <w:r>
        <w:t xml:space="preserve">нэг ID-д нэг утга орсон уу?</w:t>
      </w:r>
      <w:r>
        <w:t xml:space="preserve"> </w:t>
      </w:r>
      <w:r>
        <w:rPr>
          <w:bCs/>
          <w:b/>
        </w:rPr>
        <w:t xml:space="preserve">Traceable:</w:t>
      </w:r>
      <w:r>
        <w:t xml:space="preserve"> </w:t>
      </w:r>
      <w:r>
        <w:t xml:space="preserve">эх сурвалж ба test рүү очиж болох уу? W03-д 20 шаардлагад энэ шалгуурыг ашиглана.</w:t>
      </w:r>
    </w:p>
    <w:bookmarkEnd w:id="26"/>
    <w:bookmarkStart w:id="27" w:name="найман-баганатай-traceability-matrix"/>
    <w:p>
      <w:pPr>
        <w:pStyle w:val="Heading2"/>
      </w:pPr>
      <w:r>
        <w:t xml:space="preserve">5 Найман баганатай Traceability Matrix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ID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Source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Owner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Verification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Dependency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Risk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Status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Last-Reviewed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FR-01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FoodFlow хэрэглэгчийн урсгал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Product owner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TC-FR01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Catalog API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Medium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W02 draft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2026-09-28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FR-04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W01 Ану persona: UI/API холболт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Frontend owner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TC-FR04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FR-01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High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W02 draft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2026-09-28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FR-11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Checkout story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Backend owner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TC-FR11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FR-04/08/10, NFR-02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High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W02 draft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2026-09-28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NFR-01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Google LCP + Akamai судалгаа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QA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TC-NFR01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FR-01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Medium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W02 draft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2026-09-28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NFR-03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Order ownership ба W01 support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Backend owner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TC-NFR03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FR-12/14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High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W02 draft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2026-09-28</w:t>
            </w:r>
          </w:p>
        </w:tc>
      </w:tr>
    </w:tbl>
    <w:p>
      <w:pPr>
        <w:pStyle w:val="BodyText"/>
      </w:pPr>
      <w:r>
        <w:t xml:space="preserve">W03-д бүх 20 шаардлагыг энэ загвараар үргэлжлүүлнэ. Ярилцлагын бодит эх сурвалж байхгүй хэсгийг</w:t>
      </w:r>
      <w:r>
        <w:t xml:space="preserve"> </w:t>
      </w:r>
      <w:r>
        <w:t xml:space="preserve">“</w:t>
      </w:r>
      <w:r>
        <w:t xml:space="preserve">FoodFlow хэрэглэгчийн урсгал</w:t>
      </w:r>
      <w:r>
        <w:t xml:space="preserve">”</w:t>
      </w:r>
      <w:r>
        <w:t xml:space="preserve"> </w:t>
      </w:r>
      <w:r>
        <w:t xml:space="preserve">гэж шударгаар тэмдэглэсэн;</w:t>
      </w:r>
      <w:r>
        <w:t xml:space="preserve"> </w:t>
      </w:r>
      <w:r>
        <w:t xml:space="preserve">“</w:t>
      </w:r>
      <w:r>
        <w:t xml:space="preserve">Product owner interview</w:t>
      </w:r>
      <w:r>
        <w:t xml:space="preserve">”</w:t>
      </w:r>
      <w:r>
        <w:t xml:space="preserve"> </w:t>
      </w:r>
      <w:r>
        <w:t xml:space="preserve">гэж худал бичээгүй.</w:t>
      </w:r>
    </w:p>
    <w:bookmarkEnd w:id="27"/>
    <w:bookmarkStart w:id="28" w:name="peer-review-д-явуулах-ноорог-ба-dod"/>
    <w:p>
      <w:pPr>
        <w:pStyle w:val="Heading2"/>
      </w:pPr>
      <w:r>
        <w:t xml:space="preserve">6 Peer review-д явуулах ноорог ба DoD</w:t>
      </w:r>
    </w:p>
    <w:p>
      <w:pPr>
        <w:pStyle w:val="FirstParagraph"/>
      </w:pPr>
      <w:r>
        <w:t xml:space="preserve">Багт өгөх ноорог:</w:t>
      </w:r>
      <w:r>
        <w:t xml:space="preserve"> </w:t>
      </w:r>
      <w:r>
        <w:t xml:space="preserve">“</w:t>
      </w:r>
      <w:r>
        <w:t xml:space="preserve">FoodFlow-ийн charter, 12 хэсгийн SRS зураглал, 5 шаардлага, 8 баганатай matrix-ийг шалгаад FR-11-ийн duplicate boundary болон FR-04-ийн persona холбоо ойлгомжтой эсэхийг комментод бичиж өгнө үү.</w:t>
      </w:r>
      <w:r>
        <w:t xml:space="preserve">”</w:t>
      </w:r>
      <w:r>
        <w:t xml:space="preserve"> </w:t>
      </w:r>
      <w:r>
        <w:t xml:space="preserve">Энэ зурвасыг бодит багт илгээсэн гэж үзэхгүй. Confluence-ийн хувийн зайд нийтэлсэн гэж мэдүүлэхгүй.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Шалгуур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Байдал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Scope Charter, SRS зураглал, 5 testable шаардлага, 8 багана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Бэлэн.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Persona-ийн өвдөлттэй мөрдөх холбоо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FR-04, NFR-03-аар холбосон.</w:t>
            </w:r>
          </w:p>
        </w:tc>
      </w:tr>
      <w:tr>
        <w:trPr/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Хөрш багт ноорог илгээх, Confluence-д нийтлэх</w:t>
            </w:r>
          </w:p>
        </w:tc>
        <w:tc>
          <w:tcP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color w:val="000000"/>
                <w:sz w:val="16"/>
              </w:rPr>
              <w:t xml:space="preserve">Бодит баг/ажлын зай шаардлагатай; илгээсэн гэж тэмдэглээгүй.</w:t>
            </w:r>
          </w:p>
        </w:tc>
      </w:tr>
    </w:tbl>
    <w:p>
      <w:pPr>
        <w:pStyle w:val="BodyText"/>
      </w:pPr>
      <w:r>
        <w:rPr>
          <w:bCs/>
          <w:b/>
        </w:rPr>
        <w:t xml:space="preserve">Эргэцүүлэл:</w:t>
      </w:r>
      <w:r>
        <w:t xml:space="preserve"> </w:t>
      </w:r>
      <w:r>
        <w:t xml:space="preserve">IEEE 830 хэсэгтэй байх нь хангалтгүй, ISO-ийн Verifiable шинж оролт ба шалгах босгыг шаарддаг. W01-ийн persona-г эх сурвалж баганад оруулахгүй бол ямар хүний асуудлыг шийдэж байгааг W04 хүртэл алдана.</w:t>
      </w:r>
    </w:p>
    <w:p>
      <w:pPr>
        <w:pStyle w:val="BodyText"/>
      </w:pPr>
      <w:r>
        <w:rPr>
          <w:bCs/>
          <w:b/>
        </w:rPr>
        <w:t xml:space="preserve">Эх сурвалж:</w:t>
      </w:r>
      <w:r>
        <w:t xml:space="preserve"> </w:t>
      </w:r>
      <w:r>
        <w:t xml:space="preserve">Хавсаргасан Week 02 handout; Lecture 02 pp. 4–5, Lecture 03; IEEE 830 ба ISO/IEC/IEEE 29148-ийн агуулгыг лекцийн тайлбараар хэрэглэлээ.</w:t>
      </w:r>
    </w:p>
    <w:bookmarkEnd w:id="28"/>
    <w:bookmarkEnd w:id="29"/>
    <w:sectPr>
      <w:headerReference w:type="default" r:id="rId9"/>
      <w:pgMar w:bottom="879" w:footer="0" w:header="0" w:left="964" w:right="964" w:top="935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before="0" w:line="269" w:lineRule="auto"/>
    </w:pPr>
    <w:rPr>
      <w:rFonts w:ascii="Liberation Sans" w:hAnsi="Liberation Sans"/>
      <w:b w:val="0"/>
      <w:color w:val="000000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60" w:before="0"/>
      <w:jc w:val="center"/>
    </w:pPr>
    <w:rPr>
      <w:rFonts w:ascii="Liberation Sans" w:asciiTheme="majorHAnsi" w:cstheme="majorBidi" w:eastAsiaTheme="majorEastAsia" w:hAnsi="Liberation Sans" w:hAnsiTheme="majorHAnsi"/>
      <w:b/>
      <w:bCs/>
      <w:color w:val="000000"/>
      <w:sz w:val="2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/>
      <w:outlineLvl w:val="0"/>
    </w:pPr>
    <w:rPr>
      <w:rFonts w:ascii="Liberation Sans" w:asciiTheme="majorHAnsi" w:cstheme="majorBidi" w:eastAsiaTheme="majorEastAsia" w:hAnsi="Liberation Sans" w:hAnsiTheme="majorHAnsi"/>
      <w:b/>
      <w:bCs/>
      <w:color w:val="000000"/>
      <w:sz w:val="2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00"/>
      <w:outlineLvl w:val="1"/>
    </w:pPr>
    <w:rPr>
      <w:rFonts w:ascii="Liberation Sans" w:asciiTheme="majorHAnsi" w:cstheme="majorBidi" w:eastAsiaTheme="majorEastAsia" w:hAnsi="Liberation Sans" w:hAnsiTheme="majorHAnsi"/>
      <w:b/>
      <w:bCs/>
      <w:color w:val="000000"/>
      <w:sz w:val="22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60" w:before="160"/>
      <w:outlineLvl w:val="2"/>
    </w:pPr>
    <w:rPr>
      <w:rFonts w:ascii="Liberation Sans" w:asciiTheme="majorHAnsi" w:cstheme="majorBidi" w:eastAsiaTheme="majorEastAsia" w:hAnsi="Liberation Sans" w:hAnsiTheme="majorHAnsi"/>
      <w:b/>
      <w:bCs/>
      <w:color w:val="000000"/>
      <w:sz w:val="20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80" w:before="80"/>
    </w:pPr>
    <w:rPr>
      <w:rFonts w:ascii="Liberation Sans" w:hAnsi="Liberation Sans"/>
      <w:b w:val="0"/>
      <w:i/>
      <w:color w:val="000000"/>
      <w:sz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  <w:u w:val="non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3" Type="http://schemas.openxmlformats.org/officeDocument/2006/relationships/hyperlink" Target="https://web.dev/articles/lcp" TargetMode="External"/><Relationship Id="rId24" Type="http://schemas.openxmlformats.org/officeDocument/2006/relationships/hyperlink" Target="https://www.prnewswire.com/news-releases/akamai-online-retail-performance-report-milliseconds-are-critical-300441498.html" TargetMode="External"/><Relationship Id="rId20" Type="http://schemas.openxmlformats.org/officeDocument/2006/relationships/hyperlink" Target="week-02-scope-charter.md" TargetMode="External"/><Relationship Id="rId9" Type="http://schemas.openxmlformats.org/officeDocument/2006/relationships/header" Target="header1.xm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https://web.dev/articles/lcp" TargetMode="External"/><Relationship Id="rId24" Type="http://schemas.openxmlformats.org/officeDocument/2006/relationships/hyperlink" Target="https://www.prnewswire.com/news-releases/akamai-online-retail-performance-report-milliseconds-are-critical-300441498.html" TargetMode="External"/><Relationship Id="rId20" Type="http://schemas.openxmlformats.org/officeDocument/2006/relationships/hyperlink" Target="week-02-scope-charter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2026-09-28T13:15:42Z</dcterms:created>
  <dcterms:modified xsi:type="dcterms:W3CDTF">2026-09-28T13:15:42Z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