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'1.0' encoding='utf-8'?>
<Relationships xmlns="http://schemas.openxmlformats.org/package/2006/relationships"><Relationship Id="rIdDocument" Type="http://schemas.openxmlformats.org/officeDocument/2006/relationships/officeDocument" Target="word/document.xml" /><Relationship Id="rIdCore" Type="http://schemas.openxmlformats.org/package/2006/relationships/metadata/core-properties" Target="docProps/core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rPr/>
        <w:t xml:space="preserve">FoodFlow — SRS Scope Charter</w:t>
      </w:r>
    </w:p>
    <w:p>
      <w:pPr>
        <w:pStyle w:val="Normal"/>
      </w:pPr>
      <w:r>
        <w:rPr/>
        <w:t xml:space="preserve"/>
      </w:r>
      <w:r>
        <w:rPr>
          <w:b/>
        </w:rPr>
        <w:t xml:space="preserve">UE-2 · Шинэчилсэн:</w:t>
      </w:r>
      <w:r>
        <w:rPr/>
        <w:t xml:space="preserve"> 2026-10-13 · </w:t>
      </w:r>
      <w:r>
        <w:rPr>
          <w:b/>
        </w:rPr>
        <w:t xml:space="preserve">Төлөв:</w:t>
      </w:r>
      <w:r>
        <w:rPr/>
        <w:t xml:space="preserve"> хянан батлуулах ноорог.</w:t>
      </w:r>
    </w:p>
    <w:p>
      <w:pPr>
        <w:pStyle w:val="Heading2"/>
      </w:pPr>
      <w:r>
        <w:rPr/>
        <w:t xml:space="preserve">Зорилго ба уншигч</w:t>
      </w:r>
    </w:p>
    <w:p>
      <w:pPr>
        <w:pStyle w:val="Normal"/>
      </w:pPr>
      <w:r>
        <w:rPr/>
        <w:t xml:space="preserve">FoodFlow-ийн шаардлагын тодорхойлолт (Software Requirements Specification, </w:t>
      </w:r>
      <w:r>
        <w:rPr>
          <w:b/>
        </w:rPr>
        <w:t xml:space="preserve">SRS</w:t>
      </w:r>
      <w:r>
        <w:rPr/>
        <w:t xml:space="preserve">) нь хоол сонгохоос захиалгын дараах хяналт хүртэлх хэрэглэгчийн урсгалыг тодорхойлно. Уншигч нь product owner, frontend/backend хөгжүүлэгч, QA, support баг; анхдагч persona нь </w:t>
      </w:r>
      <w:hyperlink r:id="rIdLink1">
        <w:r>
          <w:rPr>
            <w:color w:val="176D91"/>
            <w:u w:val="single"/>
          </w:rPr>
          <w:t xml:space="preserve">Ану</w:t>
        </w:r>
      </w:hyperlink>
      <w:r>
        <w:rPr/>
        <w:t xml:space="preserve">.</w:t>
      </w:r>
    </w:p>
    <w:p>
      <w:pPr>
        <w:pStyle w:val="Heading2"/>
      </w:pPr>
      <w:r>
        <w:rPr/>
        <w:t xml:space="preserve">Хамрах хүрээ</w:t>
      </w:r>
    </w:p>
    <w:p>
      <w:pPr>
        <w:pStyle w:val="Normal"/>
      </w:pPr>
      <w:r>
        <w:rPr/>
        <w:t xml:space="preserve"/>
      </w:r>
      <w:r>
        <w:rPr>
          <w:b/>
        </w:rPr>
        <w:t xml:space="preserve">Хамруулна:</w:t>
      </w:r>
      <w:r>
        <w:rPr/>
        <w:t xml:space="preserve"> Хоолны жагсаалт, хайлт, дэлгэрэнгүй; сагсанд нэмэх, тоо өөрчлөх, устгах, нийт дүн; хүргэлтийн хаяг, боломжит цаг, төлбөрийн арга, захиалга үүсгэх; өөрийн захиалгын төлөв, түүх, зөвшөөрсөн төлөвийн цуцлалт, амжилтын баталгаа. Эдгээр нь сонголт, зардал, нэг захиалгын бүрэн мэдээлэл, дараах хяналтад хэрэгтэй. MUST/SHOULD/COULD эрэмбийг </w:t>
      </w:r>
      <w:hyperlink r:id="rIdLink2">
        <w:r>
          <w:rPr>
            <w:color w:val="176D91"/>
            <w:u w:val="single"/>
          </w:rPr>
          <w:t xml:space="preserve">SRS</w:t>
        </w:r>
      </w:hyperlink>
      <w:r>
        <w:rPr/>
        <w:t xml:space="preserve"> тогтооно.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Хасна:</w:t>
      </w:r>
      <w:r>
        <w:rPr/>
        <w:t xml:space="preserve"/>
      </w:r>
    </w:p>
    <w:p>
      <w:pPr>
        <w:pStyle w:val="Normal"/>
        <w:ind w:left="240" w:hanging="160"/>
      </w:pPr>
      <w:r>
        <w:rPr/>
        <w:t xml:space="preserve">• </w:t>
      </w:r>
      <w:r>
        <w:rPr/>
        <w:t xml:space="preserve">Рестораны бүрэн admin CMS — хэрэглэгчийн захиалгын хүрээнээс тусдаа ажилтны бүтээгдэхүүн.</w:t>
      </w:r>
    </w:p>
    <w:p>
      <w:pPr>
        <w:pStyle w:val="Normal"/>
        <w:ind w:left="240" w:hanging="160"/>
      </w:pPr>
      <w:r>
        <w:rPr/>
        <w:t xml:space="preserve">• </w:t>
      </w:r>
      <w:r>
        <w:rPr/>
        <w:t xml:space="preserve">Courier route optimization — хүргэлтийн зам оновчлох нь тусдаа ажиллагааны систем.</w:t>
      </w:r>
    </w:p>
    <w:p>
      <w:pPr>
        <w:pStyle w:val="Normal"/>
        <w:ind w:left="240" w:hanging="160"/>
      </w:pPr>
      <w:r>
        <w:rPr/>
        <w:t xml:space="preserve">• </w:t>
      </w:r>
      <w:r>
        <w:rPr/>
        <w:t xml:space="preserve">Картын нууц мэдээлэл хадгалах — загварт энэ үүргийг payment provider-т хариуцуулсан.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Хойшлуулна:</w:t>
      </w:r>
      <w:r>
        <w:rPr/>
        <w:t xml:space="preserve"> Урамшуулал, loyalty, promo campaign-ийг үндсэн урсгалын дараа; live courier map, автомат refund, төлөвийн push мэдэгдлийг бизнесийн дүрэм ба гаднах интеграц батлагдсаны дараа хэлэлцэнэ. Эдгээрийг эхний хувилбарт хэрэгжсэн гэж амлахгүй.</w:t>
      </w:r>
    </w:p>
    <w:p>
      <w:pPr>
        <w:pStyle w:val="Heading2"/>
      </w:pPr>
      <w:r>
        <w:rPr/>
        <w:t xml:space="preserve">Хил ба баталгаажуулах зүйл</w:t>
      </w:r>
    </w:p>
    <w:p>
      <w:pPr>
        <w:pStyle w:val="Normal"/>
      </w:pPr>
      <w:r>
        <w:rPr/>
        <w:t xml:space="preserve">Загвар нь веб интерфейс, HTTPS/JSON API, гадаад төлбөр болон мэдэгдлийн үйлчилгээтэй; үнэ төгрөгөөр илэрхийлэгдэнэ. Provider-ийн бодит холболт, production ажиллагаа баталгаажаагүй. Рестораны төлөв шинэчлэх үүрэг нь гаднах оролцогчийн хил; бүрэн staff UI энэ хүрээнд орохгүй.</w:t>
      </w:r>
    </w:p>
    <w:p>
      <w:pPr>
        <w:pStyle w:val="Normal"/>
      </w:pPr>
      <w:r>
        <w:rPr/>
        <w:t xml:space="preserve">W01–W04 нь бүтээгдэхүүний суурь шаардлага, </w:t>
      </w:r>
      <w:hyperlink r:id="rIdLink3">
        <w:r>
          <w:rPr>
            <w:color w:val="176D91"/>
            <w:u w:val="single"/>
          </w:rPr>
          <w:t xml:space="preserve">архитектурыг</w:t>
        </w:r>
      </w:hyperlink>
      <w:r>
        <w:rPr/>
        <w:t xml:space="preserve"> тодорхойлно. W05 OpenAPI ба локал mock нь сонгосон HTTP гэрээг үзүүлнэ. W06 Python модуль нь захиалга үүсгэх, өөрийн захиалга унших, Pending захиалга цуцлах жишээ; бүтэн веб бүтээгдэхүүний баталгаа биш. SRS-ийн Pending/Confirmed цуцлалттай зөрөх хэсгийг </w:t>
      </w:r>
      <w:hyperlink r:id="rIdLink4">
        <w:r>
          <w:rPr>
            <w:color w:val="176D91"/>
            <w:u w:val="single"/>
          </w:rPr>
          <w:t xml:space="preserve">мөрдөх хүснэгтэд</w:t>
        </w:r>
      </w:hyperlink>
      <w:r>
        <w:rPr/>
        <w:t xml:space="preserve"> хэрэгжүүлэлтийн дутагдал гэж бүртгэнэ.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“Just enough” шийдвэр:</w:t>
      </w:r>
      <w:r>
        <w:rPr/>
        <w:t xml:space="preserve"> Нэг захиалгын урсгалыг шалгаж болох хэмжээнд бичиж, шаардлага, интерфейс, тестийг холбоно. Шалгах боломжгүй дэд системийн дэлгэрэнгүйг баталгаажсан мэт нэмэхгүй. Бодит захиалагчийн зөвшөөрөл хүлээгдэж байна.</w:t>
      </w:r>
    </w:p>
    <w:p>
      <w:pPr>
        <w:pStyle w:val="Normal"/>
      </w:pPr>
      <w:r>
        <w:rPr/>
        <w:t xml:space="preserve"/>
      </w:r>
      <w:r>
        <w:rPr>
          <w:b/>
        </w:rPr>
        <w:t xml:space="preserve">Өөрчлөх дүрэм:</w:t>
      </w:r>
      <w:r>
        <w:rPr/>
        <w:t xml:space="preserve"> Шинэ семинарын pull request-д шалтгаан, нөлөөлөх шаардлага, API/архитектур, тест, эзэн, шийдвэрийн төлөвийг хамт шинэчилнэ. ID-ийн өмнөх утга ба өөрчлөлтийн түүхийг хадгална.</w:t>
      </w:r>
    </w:p>
    <w:p>
      <w:pPr>
        <w:pStyle w:val="Normal"/>
      </w:pPr>
      <w:r>
        <w:rPr/>
        <w:t xml:space="preserve">Эх: </w:t>
      </w:r>
      <w:r>
        <w:rPr>
          <w:rFonts w:ascii="Consolas" w:hAnsi="Consolas" w:cs="Consolas"/>
          <w:shd w:fill="F0F5F3" w:val="clear"/>
        </w:rPr>
        <w:t xml:space="preserve">Week_02_FoodFlow.docx</w:t>
      </w:r>
      <w:r>
        <w:rPr/>
        <w:t xml:space="preserve">; </w:t>
      </w:r>
      <w:r>
        <w:rPr>
          <w:rFonts w:ascii="Consolas" w:hAnsi="Consolas" w:cs="Consolas"/>
          <w:shd w:fill="F0F5F3" w:val="clear"/>
        </w:rPr>
        <w:t xml:space="preserve">Software_Project_Documentation_Week_02_Handout.pdf</w:t>
      </w:r>
      <w:r>
        <w:rPr/>
        <w:t xml:space="preserve">-ийн UE-2 — </w:t>
      </w:r>
      <w:hyperlink r:id="rIdLink5">
        <w:r>
          <w:rPr>
            <w:color w:val="176D91"/>
            <w:u w:val="single"/>
          </w:rPr>
          <w:t xml:space="preserve">эх сурвалжийн бүртгэл</w:t>
        </w:r>
      </w:hyperlink>
      <w:r>
        <w:rPr/>
        <w:t xml:space="preserve">. Chinchilla Ch. 5, pp. 53–55 — handout-ийн заалт. </w:t>
      </w:r>
      <w:hyperlink r:id="rIdLink6">
        <w:r>
          <w:rPr>
            <w:color w:val="176D91"/>
            <w:u w:val="single"/>
          </w:rPr>
          <w:t xml:space="preserve">W02 тайлан</w:t>
        </w:r>
      </w:hyperlink>
      <w:r>
        <w:rPr/>
        <w:t xml:space="preserve">.</w:t>
      </w:r>
    </w:p>
    <w:sectPr>
      <w:footerReference w:type="default" r:id="rIdFooter"/>
      <w:headerReference w:type="default" r:id="rIdHeader"/>
      <w:type w:val="nextPage"/>
      <w:pgSz w:w="11906" w:h="16838" w:orient="portrait"/>
      <w:pgMar w:top="795" w:right="795" w:bottom="795" w:left="795" w:header="400" w:footer="4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rPr/>
      <w:t xml:space="preserve">FoodFlow · 2026-10-13 · </w:t>
    </w:r>
    <w:fldSimple w:instr="PAGE">
      <w:r>
        <w:rPr/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Footer"/>
    </w:pPr>
    <w:r>
      <w:rPr/>
      <w:t xml:space="preserve">FOODFLOW / SOFTWARE PROJECT DOCUMENTATION</w:t>
    </w:r>
  </w:p>
</w:hdr>
</file>

<file path=word/settings.xml><?xml version="1.0" encoding="utf-8"?>
<w:settings xmlns:w="http://schemas.openxmlformats.org/wordprocessingml/2006/main">
  <w:updateFields w:val="true"/>
  <w:defaultTabStop w:val="360"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 w:eastAsia="Arial"/>
        <w:lang w:val="mn-MN"/>
        <w:sz w:val="19"/>
        <w:color w:val="18334A"/>
      </w:rPr>
    </w:rPrDefault>
  </w:docDefaults>
  <w:style w:type="paragraph" w:styleId="Normal" w:default="1">
    <w:name w:val="Normal"/>
    <w:pPr>
      <w:spacing w:before="0" w:after="85" w:line="245" w:lineRule="auto"/>
      <w:widowControl/>
    </w:pPr>
    <w:rPr>
      <w:sz w:val="19"/>
    </w:rPr>
  </w:style>
  <w:style w:type="paragraph" w:styleId="Title">
    <w:name w:val="Title"/>
    <w:basedOn w:val="Normal"/>
    <w:pPr>
      <w:spacing w:before="0" w:after="160" w:line="780" w:lineRule="auto"/>
      <w:widowControl/>
    </w:pPr>
    <w:rPr>
      <w:sz w:val="68"/>
      <w:b/>
    </w:rPr>
  </w:style>
  <w:style w:type="paragraph" w:styleId="Subtitle">
    <w:name w:val="Subtitle"/>
    <w:basedOn w:val="Normal"/>
    <w:pPr>
      <w:spacing w:before="0" w:after="180" w:line="500" w:lineRule="auto"/>
      <w:widowControl/>
    </w:pPr>
    <w:rPr>
      <w:sz w:val="40"/>
    </w:rPr>
  </w:style>
  <w:style w:type="paragraph" w:styleId="TableText">
    <w:name w:val="TableText"/>
    <w:basedOn w:val="Normal"/>
    <w:pPr>
      <w:spacing w:before="0" w:after="0" w:line="230" w:lineRule="auto"/>
      <w:widowControl/>
    </w:pPr>
    <w:rPr>
      <w:sz w:val="18"/>
    </w:rPr>
  </w:style>
  <w:style w:type="paragraph" w:styleId="Caption">
    <w:name w:val="Caption"/>
    <w:basedOn w:val="Normal"/>
    <w:pPr>
      <w:spacing w:before="0" w:after="90" w:line="210" w:lineRule="auto"/>
      <w:widowControl/>
    </w:pPr>
    <w:rPr>
      <w:sz w:val="16"/>
    </w:rPr>
  </w:style>
  <w:style w:type="paragraph" w:styleId="Code">
    <w:name w:val="Code"/>
    <w:basedOn w:val="Normal"/>
    <w:pPr>
      <w:spacing w:before="0" w:after="120" w:line="210" w:lineRule="auto"/>
      <w:widowControl/>
      <w:shd w:fill="F4F7F8" w:val="clear"/>
      <w:ind w:left="140" w:right="140"/>
    </w:pPr>
    <w:rPr>
      <w:sz w:val="16"/>
      <w:rFonts w:ascii="Consolas" w:hAnsi="Consolas" w:cs="Consolas"/>
    </w:rPr>
  </w:style>
  <w:style w:type="paragraph" w:styleId="Quote">
    <w:name w:val="Quote"/>
    <w:basedOn w:val="Normal"/>
    <w:pPr>
      <w:spacing w:before="0" w:after="120" w:line="260" w:lineRule="auto"/>
      <w:widowControl/>
      <w:shd w:fill="F4F7F8" w:val="clear"/>
      <w:ind w:left="140" w:right="140"/>
    </w:pPr>
    <w:rPr>
      <w:sz w:val="20"/>
    </w:rPr>
  </w:style>
  <w:style w:type="paragraph" w:styleId="Gap">
    <w:name w:val="Gap"/>
    <w:basedOn w:val="Normal"/>
    <w:pPr>
      <w:spacing w:before="0" w:after="70" w:line="40" w:lineRule="auto"/>
      <w:widowControl/>
    </w:pPr>
    <w:rPr>
      <w:sz w:val="4"/>
    </w:rPr>
  </w:style>
  <w:style w:type="paragraph" w:styleId="Footer">
    <w:name w:val="Footer"/>
    <w:basedOn w:val="Normal"/>
    <w:pPr>
      <w:spacing w:before="0" w:after="0" w:line="180" w:lineRule="auto"/>
      <w:widowControl/>
    </w:pPr>
    <w:rPr>
      <w:sz w:val="16"/>
    </w:rPr>
  </w:style>
  <w:style w:type="paragraph" w:styleId="Heading1">
    <w:name w:val="Heading1"/>
    <w:basedOn w:val="Normal"/>
    <w:pPr>
      <w:spacing w:before="0" w:after="115" w:line="390" w:lineRule="auto"/>
      <w:widowControl/>
      <w:keepNext/>
      <w:outlineLvl w:val="0"/>
    </w:pPr>
    <w:rPr>
      <w:sz w:val="30"/>
      <w:b/>
    </w:rPr>
  </w:style>
  <w:style w:type="paragraph" w:styleId="Heading2">
    <w:name w:val="Heading2"/>
    <w:basedOn w:val="Normal"/>
    <w:pPr>
      <w:spacing w:before="140" w:after="115" w:line="278" w:lineRule="auto"/>
      <w:widowControl/>
      <w:keepNext/>
      <w:outlineLvl w:val="1"/>
    </w:pPr>
    <w:rPr>
      <w:sz w:val="21"/>
      <w:b/>
    </w:rPr>
  </w:style>
  <w:style w:type="paragraph" w:styleId="Heading3">
    <w:name w:val="Heading3"/>
    <w:basedOn w:val="Normal"/>
    <w:pPr>
      <w:spacing w:before="140" w:after="115" w:line="278" w:lineRule="auto"/>
      <w:widowControl/>
      <w:keepNext/>
      <w:outlineLvl w:val="2"/>
    </w:pPr>
    <w:rPr>
      <w:sz w:val="21"/>
      <w:b/>
    </w:rPr>
  </w:style>
  <w:style w:type="paragraph" w:styleId="Heading4">
    <w:name w:val="Heading4"/>
    <w:basedOn w:val="Normal"/>
    <w:pPr>
      <w:spacing w:before="140" w:after="115" w:line="278" w:lineRule="auto"/>
      <w:widowControl/>
      <w:keepNext/>
      <w:outlineLvl w:val="3"/>
    </w:pPr>
    <w:rPr>
      <w:sz w:val="21"/>
      <w:b/>
    </w:rPr>
  </w:style>
  <w:style w:type="paragraph" w:styleId="Heading5">
    <w:name w:val="Heading5"/>
    <w:basedOn w:val="Normal"/>
    <w:pPr>
      <w:spacing w:before="140" w:after="115" w:line="278" w:lineRule="auto"/>
      <w:widowControl/>
      <w:keepNext/>
      <w:outlineLvl w:val="4"/>
    </w:pPr>
    <w:rPr>
      <w:sz w:val="21"/>
      <w:b/>
    </w:rPr>
  </w:style>
  <w:style w:type="paragraph" w:styleId="Heading6">
    <w:name w:val="Heading6"/>
    <w:basedOn w:val="Normal"/>
    <w:pPr>
      <w:spacing w:before="140" w:after="115" w:line="278" w:lineRule="auto"/>
      <w:widowControl/>
      <w:keepNext/>
      <w:outlineLvl w:val="5"/>
    </w:pPr>
    <w:rPr>
      <w:sz w:val="21"/>
      <w:b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Footer" Type="http://schemas.openxmlformats.org/officeDocument/2006/relationships/footer" Target="footer1.xml" /><Relationship Id="rIdHeader" Type="http://schemas.openxmlformats.org/officeDocument/2006/relationships/header" Target="header1.xml" /><Relationship Id="rIdLink1" Type="http://schemas.openxmlformats.org/officeDocument/2006/relationships/hyperlink" Target="https://github.com/Tuguldur0222/foodflow-documentation/blob/main/docs/audience/personas.md" TargetMode="External" /><Relationship Id="rIdLink2" Type="http://schemas.openxmlformats.org/officeDocument/2006/relationships/hyperlink" Target="https://github.com/Tuguldur0222/foodflow-documentation/blob/main/docs/requirements/srs.md" TargetMode="External" /><Relationship Id="rIdLink3" Type="http://schemas.openxmlformats.org/officeDocument/2006/relationships/hyperlink" Target="https://github.com/Tuguldur0222/foodflow-documentation/blob/main/docs/architecture/index.md" TargetMode="External" /><Relationship Id="rIdLink4" Type="http://schemas.openxmlformats.org/officeDocument/2006/relationships/hyperlink" Target="https://github.com/Tuguldur0222/foodflow-documentation/blob/main/docs/requirements/traceability.md" TargetMode="External" /><Relationship Id="rIdLink5" Type="http://schemas.openxmlformats.org/officeDocument/2006/relationships/hyperlink" Target="https://github.com/Tuguldur0222/foodflow-documentation/blob/main/sources/README.md" TargetMode="External" /><Relationship Id="rIdLink6" Type="http://schemas.openxmlformats.org/officeDocument/2006/relationships/hyperlink" Target="https://github.com/Tuguldur0222/foodflow-documentation/blob/main/docs/semesters/week-02.md" TargetMode="External" /></Relationships>
</file>

<file path=docProps/core.xml><?xml version="1.0" encoding="utf-8"?>
<cp:coreProperties xmlns:cp="http://schemas.openxmlformats.org/package/2006/metadata/core-properties" xmlns:dc="http://purl.org/dc/elements/1.1/">
  <dc:title>FoodFlow — SRS Scope Charter</dc:title>
  <dc:creator>Ю. Төгөлдөр · 23B1NUM2350</dc:creator>
  <dc:description>Editable export from canonical FoodFlow Markdown. 2026-10-13</dc:description>
</cp:coreProperties>
</file>