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docProps/core.xml" ContentType="application/vnd.openxmlformats-package.core-properties+xml"/>
</Types>
</file>

<file path=_rels/.rels><?xml version='1.0' encoding='utf-8'?>
<Relationships xmlns="http://schemas.openxmlformats.org/package/2006/relationships"><Relationship Id="rIdDocument" Type="http://schemas.openxmlformats.org/officeDocument/2006/relationships/officeDocument" Target="word/document.xml" /><Relationship Id="rIdCore"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Heading1"/>
      </w:pPr>
      <w:r>
        <w:rPr/>
        <w:t xml:space="preserve">W02 — SRS-ийн хамрах хүрээ ба мөрдөх холбоо</w:t>
      </w:r>
    </w:p>
    <w:p>
      <w:pPr>
        <w:pStyle w:val="Normal"/>
      </w:pPr>
      <w:r>
        <w:rPr/>
        <w:t xml:space="preserve">Энэ семинараар FoodFlow-ийн шаардлагын тодорхойлолтын (Software Requirements Specification, </w:t>
      </w:r>
      <w:r>
        <w:rPr>
          <w:b/>
        </w:rPr>
        <w:t xml:space="preserve">SRS</w:t>
      </w:r>
      <w:r>
        <w:rPr/>
        <w:t xml:space="preserve">) хүрээг тогтоож, IEEE 830-ийн бүтцийг төсөлдөө зураглан, шалгаж болох таван шаардлага болон найман баганатай мөрдөх хүснэгт бэлтгэв. Гол зорилго нь олон хэсэгтэй загвар бөглөх бус, ямар хүний хэрэгцээг ямар шаардлагаар шийдэх, түүнийг юугаар батлахыг тодорхой болгох юм.</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33"/>
        <w:gridCol w:w="6631"/>
      </w:tblGrid>
      <w:tr>
        <w:trPr>
          <w:cantSplit/>
          <w:tblHeader/>
        </w:trPr>
        <w:tc>
          <w:tcPr>
            <w:tcW w:w="3233" w:type="dxa"/>
            <w:vAlign w:val="top"/>
            <w:shd w:fill="E5EFEC" w:val="clear"/>
          </w:tcPr>
          <w:p>
            <w:pPr>
              <w:pStyle w:val="TableText"/>
            </w:pPr>
            <w:r>
              <w:rPr>
                <w:b/>
                <w:sz w:val="18"/>
              </w:rPr>
              <w:t xml:space="preserve">Талбар</w:t>
            </w:r>
          </w:p>
        </w:tc>
        <w:tc>
          <w:tcPr>
            <w:tcW w:w="6631" w:type="dxa"/>
            <w:vAlign w:val="top"/>
            <w:shd w:fill="E5EFEC" w:val="clear"/>
          </w:tcPr>
          <w:p>
            <w:pPr>
              <w:pStyle w:val="TableText"/>
            </w:pPr>
            <w:r>
              <w:rPr>
                <w:b/>
                <w:sz w:val="18"/>
              </w:rPr>
              <w:t xml:space="preserve">Утга</w:t>
            </w:r>
          </w:p>
        </w:tc>
      </w:tr>
      <w:tr>
        <w:trPr>
          <w:cantSplit/>
        </w:trPr>
        <w:tc>
          <w:tcPr>
            <w:tcW w:w="3233" w:type="dxa"/>
            <w:vAlign w:val="top"/>
          </w:tcPr>
          <w:p>
            <w:pPr>
              <w:pStyle w:val="TableText"/>
            </w:pPr>
            <w:r>
              <w:rPr>
                <w:sz w:val="18"/>
              </w:rPr>
              <w:t xml:space="preserve">Суурь материал</w:t>
            </w:r>
          </w:p>
        </w:tc>
        <w:tc>
          <w:tcPr>
            <w:tcW w:w="6631" w:type="dxa"/>
            <w:vAlign w:val="top"/>
          </w:tcPr>
          <w:p>
            <w:pPr>
              <w:pStyle w:val="TableText"/>
            </w:pPr>
            <w:r>
              <w:rPr>
                <w:rFonts w:ascii="Consolas" w:hAnsi="Consolas" w:cs="Consolas"/>
                <w:shd w:fill="F0F5F3" w:val="clear"/>
                <w:sz w:val="18"/>
              </w:rPr>
              <w:t xml:space="preserve">Week_02_FoodFlow.docx</w:t>
            </w:r>
            <w:r>
              <w:rPr>
                <w:sz w:val="18"/>
              </w:rPr>
              <w:t xml:space="preserve">; </w:t>
            </w:r>
            <w:r>
              <w:rPr>
                <w:rFonts w:ascii="Consolas" w:hAnsi="Consolas" w:cs="Consolas"/>
                <w:shd w:fill="F0F5F3" w:val="clear"/>
                <w:sz w:val="18"/>
              </w:rPr>
              <w:t xml:space="preserve">Software_Project_Documentation_Week_02_Handout.pdf</w:t>
            </w:r>
            <w:r>
              <w:rPr>
                <w:sz w:val="18"/>
              </w:rPr>
              <w:t xml:space="preserve"> — </w:t>
            </w:r>
            <w:hyperlink r:id="rIdLink1">
              <w:r>
                <w:rPr>
                  <w:color w:val="176D91"/>
                  <w:u w:val="single"/>
                  <w:sz w:val="18"/>
                </w:rPr>
                <w:t xml:space="preserve">эх сурвалжийн бүртгэл</w:t>
              </w:r>
            </w:hyperlink>
            <w:r>
              <w:rPr>
                <w:sz w:val="18"/>
              </w:rPr>
              <w:t xml:space="preserve">, </w:t>
            </w:r>
            <w:hyperlink r:id="rIdLink2">
              <w:r>
                <w:rPr>
                  <w:color w:val="176D91"/>
                  <w:u w:val="single"/>
                  <w:sz w:val="18"/>
                </w:rPr>
                <w:t xml:space="preserve">файлын manifest</w:t>
              </w:r>
            </w:hyperlink>
          </w:p>
        </w:tc>
      </w:tr>
      <w:tr>
        <w:trPr>
          <w:cantSplit/>
        </w:trPr>
        <w:tc>
          <w:tcPr>
            <w:tcW w:w="3233" w:type="dxa"/>
            <w:vAlign w:val="top"/>
            <w:shd w:fill="F6F9FA" w:val="clear"/>
          </w:tcPr>
          <w:p>
            <w:pPr>
              <w:pStyle w:val="TableText"/>
            </w:pPr>
            <w:r>
              <w:rPr>
                <w:sz w:val="18"/>
              </w:rPr>
              <w:t xml:space="preserve">Холбогдох даалгавар</w:t>
            </w:r>
          </w:p>
        </w:tc>
        <w:tc>
          <w:tcPr>
            <w:tcW w:w="6631" w:type="dxa"/>
            <w:vAlign w:val="top"/>
            <w:shd w:fill="F6F9FA" w:val="clear"/>
          </w:tcPr>
          <w:p>
            <w:pPr>
              <w:pStyle w:val="TableText"/>
            </w:pPr>
            <w:r>
              <w:rPr>
                <w:rFonts w:ascii="Consolas" w:hAnsi="Consolas" w:cs="Consolas"/>
                <w:shd w:fill="F0F5F3" w:val="clear"/>
                <w:sz w:val="18"/>
              </w:rPr>
              <w:t xml:space="preserve">US-2.1</w:t>
            </w:r>
            <w:r>
              <w:rPr>
                <w:sz w:val="18"/>
              </w:rPr>
              <w:t xml:space="preserve">–</w:t>
            </w:r>
            <w:r>
              <w:rPr>
                <w:rFonts w:ascii="Consolas" w:hAnsi="Consolas" w:cs="Consolas"/>
                <w:shd w:fill="F0F5F3" w:val="clear"/>
                <w:sz w:val="18"/>
              </w:rPr>
              <w:t xml:space="preserve">US-2.3</w:t>
            </w:r>
            <w:r>
              <w:rPr>
                <w:sz w:val="18"/>
              </w:rPr>
              <w:t xml:space="preserve">, заавал хийх </w:t>
            </w:r>
            <w:r>
              <w:rPr>
                <w:rFonts w:ascii="Consolas" w:hAnsi="Consolas" w:cs="Consolas"/>
                <w:shd w:fill="F0F5F3" w:val="clear"/>
                <w:sz w:val="18"/>
              </w:rPr>
              <w:t xml:space="preserve">UE-2</w:t>
            </w:r>
          </w:p>
        </w:tc>
      </w:tr>
      <w:tr>
        <w:trPr>
          <w:cantSplit/>
        </w:trPr>
        <w:tc>
          <w:tcPr>
            <w:tcW w:w="3233" w:type="dxa"/>
            <w:vAlign w:val="top"/>
          </w:tcPr>
          <w:p>
            <w:pPr>
              <w:pStyle w:val="TableText"/>
            </w:pPr>
            <w:r>
              <w:rPr>
                <w:sz w:val="18"/>
              </w:rPr>
              <w:t xml:space="preserve">Шинэчилсэн огноо</w:t>
            </w:r>
          </w:p>
        </w:tc>
        <w:tc>
          <w:tcPr>
            <w:tcW w:w="6631" w:type="dxa"/>
            <w:vAlign w:val="top"/>
          </w:tcPr>
          <w:p>
            <w:pPr>
              <w:pStyle w:val="TableText"/>
            </w:pPr>
            <w:r>
              <w:rPr>
                <w:sz w:val="18"/>
              </w:rPr>
              <w:t xml:space="preserve">2026-10-13</w:t>
            </w:r>
          </w:p>
        </w:tc>
      </w:tr>
      <w:tr>
        <w:trPr>
          <w:cantSplit/>
        </w:trPr>
        <w:tc>
          <w:tcPr>
            <w:tcW w:w="3233" w:type="dxa"/>
            <w:vAlign w:val="top"/>
            <w:shd w:fill="F6F9FA" w:val="clear"/>
          </w:tcPr>
          <w:p>
            <w:pPr>
              <w:pStyle w:val="TableText"/>
            </w:pPr>
            <w:r>
              <w:rPr>
                <w:sz w:val="18"/>
              </w:rPr>
              <w:t xml:space="preserve">Өмнөх оролт</w:t>
            </w:r>
          </w:p>
        </w:tc>
        <w:tc>
          <w:tcPr>
            <w:tcW w:w="6631" w:type="dxa"/>
            <w:vAlign w:val="top"/>
            <w:shd w:fill="F6F9FA" w:val="clear"/>
          </w:tcPr>
          <w:p>
            <w:pPr>
              <w:pStyle w:val="TableText"/>
            </w:pPr>
            <w:hyperlink r:id="rIdLink3">
              <w:r>
                <w:rPr>
                  <w:color w:val="176D91"/>
                  <w:u w:val="single"/>
                  <w:sz w:val="18"/>
                </w:rPr>
                <w:t xml:space="preserve">W01</w:t>
              </w:r>
            </w:hyperlink>
            <w:r>
              <w:rPr>
                <w:sz w:val="18"/>
              </w:rPr>
              <w:t xml:space="preserve">, </w:t>
            </w:r>
            <w:hyperlink r:id="rIdLink4">
              <w:r>
                <w:rPr>
                  <w:color w:val="176D91"/>
                  <w:u w:val="single"/>
                  <w:sz w:val="18"/>
                </w:rPr>
                <w:t xml:space="preserve">persona</w:t>
              </w:r>
            </w:hyperlink>
          </w:p>
        </w:tc>
      </w:tr>
      <w:tr>
        <w:trPr>
          <w:cantSplit/>
        </w:trPr>
        <w:tc>
          <w:tcPr>
            <w:tcW w:w="3233" w:type="dxa"/>
            <w:vAlign w:val="top"/>
          </w:tcPr>
          <w:p>
            <w:pPr>
              <w:pStyle w:val="TableText"/>
            </w:pPr>
            <w:r>
              <w:rPr>
                <w:sz w:val="18"/>
              </w:rPr>
              <w:t xml:space="preserve">Дараагийн гаралт</w:t>
            </w:r>
          </w:p>
        </w:tc>
        <w:tc>
          <w:tcPr>
            <w:tcW w:w="6631" w:type="dxa"/>
            <w:vAlign w:val="top"/>
          </w:tcPr>
          <w:p>
            <w:pPr>
              <w:pStyle w:val="TableText"/>
            </w:pPr>
            <w:hyperlink r:id="rIdLink5">
              <w:r>
                <w:rPr>
                  <w:color w:val="176D91"/>
                  <w:u w:val="single"/>
                  <w:sz w:val="18"/>
                </w:rPr>
                <w:t xml:space="preserve">W03</w:t>
              </w:r>
            </w:hyperlink>
            <w:r>
              <w:rPr>
                <w:sz w:val="18"/>
              </w:rPr>
              <w:t xml:space="preserve">, </w:t>
            </w:r>
            <w:hyperlink r:id="rIdLink6">
              <w:r>
                <w:rPr>
                  <w:color w:val="176D91"/>
                  <w:u w:val="single"/>
                  <w:sz w:val="18"/>
                </w:rPr>
                <w:t xml:space="preserve">SRS</w:t>
              </w:r>
            </w:hyperlink>
            <w:r>
              <w:rPr>
                <w:sz w:val="18"/>
              </w:rPr>
              <w:t xml:space="preserve">, </w:t>
            </w:r>
            <w:hyperlink r:id="rIdLink7">
              <w:r>
                <w:rPr>
                  <w:color w:val="176D91"/>
                  <w:u w:val="single"/>
                  <w:sz w:val="18"/>
                </w:rPr>
                <w:t xml:space="preserve">нэгдсэн мөрдөх хүснэгт</w:t>
              </w:r>
            </w:hyperlink>
          </w:p>
        </w:tc>
      </w:tr>
      <w:tr>
        <w:trPr>
          <w:cantSplit/>
        </w:trPr>
        <w:tc>
          <w:tcPr>
            <w:tcW w:w="3233" w:type="dxa"/>
            <w:vAlign w:val="top"/>
            <w:shd w:fill="F6F9FA" w:val="clear"/>
          </w:tcPr>
          <w:p>
            <w:pPr>
              <w:pStyle w:val="TableText"/>
            </w:pPr>
            <w:r>
              <w:rPr>
                <w:sz w:val="18"/>
              </w:rPr>
              <w:t xml:space="preserve">Нотолгооны хязгаар</w:t>
            </w:r>
          </w:p>
        </w:tc>
        <w:tc>
          <w:tcPr>
            <w:tcW w:w="6631" w:type="dxa"/>
            <w:vAlign w:val="top"/>
            <w:shd w:fill="F6F9FA" w:val="clear"/>
          </w:tcPr>
          <w:p>
            <w:pPr>
              <w:pStyle w:val="TableText"/>
            </w:pPr>
            <w:r>
              <w:rPr>
                <w:sz w:val="18"/>
              </w:rPr>
              <w:t xml:space="preserve">Шаардлагыг бичиж хянасан; бүтэн FoodFlow бүтээгдэхүүн дээр эдгээр тестийг гүйцэтгэсэн гэж мэдүүлээгүй</w:t>
            </w:r>
          </w:p>
        </w:tc>
      </w:tr>
    </w:tbl>
    <w:p>
      <w:pPr>
        <w:pStyle w:val="Gap"/>
      </w:pPr>
    </w:p>
    <w:p>
      <w:pPr>
        <w:pStyle w:val="Heading2"/>
      </w:pPr>
      <w:r>
        <w:rPr/>
        <w:t xml:space="preserve">Семинарын user story-ууд</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965"/>
        <w:gridCol w:w="6899"/>
      </w:tblGrid>
      <w:tr>
        <w:trPr>
          <w:cantSplit/>
          <w:tblHeader/>
        </w:trPr>
        <w:tc>
          <w:tcPr>
            <w:tcW w:w="2965" w:type="dxa"/>
            <w:vAlign w:val="top"/>
            <w:shd w:fill="E5EFEC" w:val="clear"/>
          </w:tcPr>
          <w:p>
            <w:pPr>
              <w:pStyle w:val="TableText"/>
            </w:pPr>
            <w:r>
              <w:rPr>
                <w:b/>
                <w:sz w:val="18"/>
              </w:rPr>
              <w:t xml:space="preserve">ID</w:t>
            </w:r>
          </w:p>
        </w:tc>
        <w:tc>
          <w:tcPr>
            <w:tcW w:w="6899" w:type="dxa"/>
            <w:vAlign w:val="top"/>
            <w:shd w:fill="E5EFEC" w:val="clear"/>
          </w:tcPr>
          <w:p>
            <w:pPr>
              <w:pStyle w:val="TableText"/>
            </w:pPr>
            <w:r>
              <w:rPr>
                <w:b/>
                <w:sz w:val="18"/>
              </w:rPr>
              <w:t xml:space="preserve">Үүрэг → хүсэл → үнэ цэнэ</w:t>
            </w:r>
          </w:p>
        </w:tc>
      </w:tr>
      <w:tr>
        <w:trPr>
          <w:cantSplit/>
        </w:trPr>
        <w:tc>
          <w:tcPr>
            <w:tcW w:w="2965" w:type="dxa"/>
            <w:vAlign w:val="top"/>
          </w:tcPr>
          <w:p>
            <w:pPr>
              <w:pStyle w:val="TableText"/>
            </w:pPr>
            <w:r>
              <w:rPr>
                <w:rFonts w:ascii="Consolas" w:hAnsi="Consolas" w:cs="Consolas"/>
                <w:shd w:fill="F0F5F3" w:val="clear"/>
                <w:sz w:val="18"/>
              </w:rPr>
              <w:t xml:space="preserve">US-2.1</w:t>
            </w:r>
          </w:p>
        </w:tc>
        <w:tc>
          <w:tcPr>
            <w:tcW w:w="6899" w:type="dxa"/>
            <w:vAlign w:val="top"/>
          </w:tcPr>
          <w:p>
            <w:pPr>
              <w:pStyle w:val="TableText"/>
            </w:pPr>
            <w:r>
              <w:rPr>
                <w:sz w:val="18"/>
              </w:rPr>
              <w:t xml:space="preserve">Оюутны хувьд IEEE 830-ийн хэсгүүдийг FoodFlow-д зураглаж, хамаарахгүй хэсгийг үндэслэлтэй тэмдэглэхийг хүсэж байна. Ингэснээр хэрэггүй хэсэг нэмэлгүй SRS-ийн бүтцийг бүрэн тодорхойлно.</w:t>
            </w:r>
          </w:p>
        </w:tc>
      </w:tr>
      <w:tr>
        <w:trPr>
          <w:cantSplit/>
        </w:trPr>
        <w:tc>
          <w:tcPr>
            <w:tcW w:w="2965" w:type="dxa"/>
            <w:vAlign w:val="top"/>
            <w:shd w:fill="F6F9FA" w:val="clear"/>
          </w:tcPr>
          <w:p>
            <w:pPr>
              <w:pStyle w:val="TableText"/>
            </w:pPr>
            <w:r>
              <w:rPr>
                <w:rFonts w:ascii="Consolas" w:hAnsi="Consolas" w:cs="Consolas"/>
                <w:shd w:fill="F0F5F3" w:val="clear"/>
                <w:sz w:val="18"/>
              </w:rPr>
              <w:t xml:space="preserve">US-2.2</w:t>
            </w:r>
          </w:p>
        </w:tc>
        <w:tc>
          <w:tcPr>
            <w:tcW w:w="6899" w:type="dxa"/>
            <w:vAlign w:val="top"/>
            <w:shd w:fill="F6F9FA" w:val="clear"/>
          </w:tcPr>
          <w:p>
            <w:pPr>
              <w:pStyle w:val="TableText"/>
            </w:pPr>
            <w:r>
              <w:rPr>
                <w:sz w:val="18"/>
              </w:rPr>
              <w:t xml:space="preserve">Оюутны хувьд ID, эрэмбэ, эх сурвалж, эзэн, шалгах аргатай таван шаардлага бичихийг хүсэж байна. Ингэснээр шаардлагыг тесттэй холбож, биелсэн эсэхийг ажиглаж болно.</w:t>
            </w:r>
          </w:p>
        </w:tc>
      </w:tr>
      <w:tr>
        <w:trPr>
          <w:cantSplit/>
        </w:trPr>
        <w:tc>
          <w:tcPr>
            <w:tcW w:w="2965" w:type="dxa"/>
            <w:vAlign w:val="top"/>
          </w:tcPr>
          <w:p>
            <w:pPr>
              <w:pStyle w:val="TableText"/>
            </w:pPr>
            <w:r>
              <w:rPr>
                <w:rFonts w:ascii="Consolas" w:hAnsi="Consolas" w:cs="Consolas"/>
                <w:shd w:fill="F0F5F3" w:val="clear"/>
                <w:sz w:val="18"/>
              </w:rPr>
              <w:t xml:space="preserve">US-2.3</w:t>
            </w:r>
          </w:p>
        </w:tc>
        <w:tc>
          <w:tcPr>
            <w:tcW w:w="6899" w:type="dxa"/>
            <w:vAlign w:val="top"/>
          </w:tcPr>
          <w:p>
            <w:pPr>
              <w:pStyle w:val="TableText"/>
            </w:pPr>
            <w:r>
              <w:rPr>
                <w:sz w:val="18"/>
              </w:rPr>
              <w:t xml:space="preserve">Оюутны хувьд шаардлага бүрийг найман баганатай traceability-д бүртгэхийг хүсэж байна. Ингэснээр эх сурвалж, хамаарал, эрсдэл, шалгалтын төлөвийг дараагийн аудитад мөрдөнө.</w:t>
            </w:r>
          </w:p>
        </w:tc>
      </w:tr>
    </w:tbl>
    <w:p>
      <w:pPr>
        <w:pStyle w:val="Gap"/>
      </w:pPr>
    </w:p>
    <w:p>
      <w:pPr>
        <w:pStyle w:val="Heading2"/>
      </w:pPr>
      <w:r>
        <w:rPr/>
        <w:t xml:space="preserve">1. SRS Scope Charter — UE-2</w:t>
      </w:r>
    </w:p>
    <w:p>
      <w:pPr>
        <w:pStyle w:val="Normal"/>
      </w:pPr>
      <w:hyperlink r:id="rIdLink8">
        <w:r>
          <w:rPr>
            <w:color w:val="176D91"/>
            <w:u w:val="single"/>
          </w:rPr>
          <w:t xml:space="preserve">Нэг хуудсанд зориулсан Scope Charter</w:t>
        </w:r>
      </w:hyperlink>
      <w:r>
        <w:rPr/>
        <w:t xml:space="preserve"> нь энэ семинараар хүлээлгэн өгөх бие даасан баримт юм. Түүнд хамруулах, хасах, хойшлуулах боломжуудыг шалтгаантай нь бичиж, бүтээгдэхүүний өргөн хүрээг W05-ийн HTTP гэрээ болон W06-ийн хязгаарлагдмал Python жишээнээс ялгасан.</w:t>
      </w:r>
    </w:p>
    <w:p>
      <w:pPr>
        <w:pStyle w:val="Heading3"/>
      </w:pPr>
      <w:r>
        <w:rPr/>
        <w:t xml:space="preserve">1.1 Хүрээ тогтоох асуултыг хэрэглэх нь</w:t>
      </w:r>
    </w:p>
    <w:p>
      <w:pPr>
        <w:pStyle w:val="Normal"/>
      </w:pPr>
      <w:r>
        <w:rPr/>
        <w:t xml:space="preserve">Доорх асуултуудыг Chinchilla Ch. 5, pp. 53–55 гэсэн handout-ийн чиглэлийг FoodFlow-д хэрэглэхээр өөрийн үгээр найруулсан. Номын асуултыг үгчлэн эшилсэн гэж үзэхгүй.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704"/>
        <w:gridCol w:w="6160"/>
      </w:tblGrid>
      <w:tr>
        <w:trPr>
          <w:cantSplit/>
          <w:tblHeader/>
        </w:trPr>
        <w:tc>
          <w:tcPr>
            <w:tcW w:w="3704" w:type="dxa"/>
            <w:vAlign w:val="top"/>
            <w:shd w:fill="E5EFEC" w:val="clear"/>
          </w:tcPr>
          <w:p>
            <w:pPr>
              <w:pStyle w:val="TableText"/>
            </w:pPr>
            <w:r>
              <w:rPr>
                <w:b/>
                <w:sz w:val="18"/>
              </w:rPr>
              <w:t xml:space="preserve">Асуулт</w:t>
            </w:r>
          </w:p>
        </w:tc>
        <w:tc>
          <w:tcPr>
            <w:tcW w:w="6160" w:type="dxa"/>
            <w:vAlign w:val="top"/>
            <w:shd w:fill="E5EFEC" w:val="clear"/>
          </w:tcPr>
          <w:p>
            <w:pPr>
              <w:pStyle w:val="TableText"/>
            </w:pPr>
            <w:r>
              <w:rPr>
                <w:b/>
                <w:sz w:val="18"/>
              </w:rPr>
              <w:t xml:space="preserve">FoodFlow-ийн шийдвэр</w:t>
            </w:r>
          </w:p>
        </w:tc>
      </w:tr>
      <w:tr>
        <w:trPr>
          <w:cantSplit/>
        </w:trPr>
        <w:tc>
          <w:tcPr>
            <w:tcW w:w="3704" w:type="dxa"/>
            <w:vAlign w:val="top"/>
          </w:tcPr>
          <w:p>
            <w:pPr>
              <w:pStyle w:val="TableText"/>
            </w:pPr>
            <w:r>
              <w:rPr>
                <w:sz w:val="18"/>
              </w:rPr>
              <w:t xml:space="preserve">Баримтыг хэн, ямар шийдвэр гаргахад ашиглах вэ?</w:t>
            </w:r>
          </w:p>
        </w:tc>
        <w:tc>
          <w:tcPr>
            <w:tcW w:w="6160" w:type="dxa"/>
            <w:vAlign w:val="top"/>
          </w:tcPr>
          <w:p>
            <w:pPr>
              <w:pStyle w:val="TableText"/>
            </w:pPr>
            <w:r>
              <w:rPr>
                <w:sz w:val="18"/>
              </w:rPr>
              <w:t xml:space="preserve">Product owner хүрээг, хөгжүүлэгч зан төлөв ба интерфейсийг, QA pass/fail нөхцөлийг, support хэрэглэгчийн дараагийн алхмыг шалгана.</w:t>
            </w:r>
          </w:p>
        </w:tc>
      </w:tr>
      <w:tr>
        <w:trPr>
          <w:cantSplit/>
        </w:trPr>
        <w:tc>
          <w:tcPr>
            <w:tcW w:w="3704" w:type="dxa"/>
            <w:vAlign w:val="top"/>
            <w:shd w:fill="F6F9FA" w:val="clear"/>
          </w:tcPr>
          <w:p>
            <w:pPr>
              <w:pStyle w:val="TableText"/>
            </w:pPr>
            <w:r>
              <w:rPr>
                <w:sz w:val="18"/>
              </w:rPr>
              <w:t xml:space="preserve">Эхний хувилбарын зайлшгүй үр дүн юу вэ?</w:t>
            </w:r>
          </w:p>
        </w:tc>
        <w:tc>
          <w:tcPr>
            <w:tcW w:w="6160" w:type="dxa"/>
            <w:vAlign w:val="top"/>
            <w:shd w:fill="F6F9FA" w:val="clear"/>
          </w:tcPr>
          <w:p>
            <w:pPr>
              <w:pStyle w:val="TableText"/>
            </w:pPr>
            <w:r>
              <w:rPr>
                <w:sz w:val="18"/>
              </w:rPr>
              <w:t xml:space="preserve">Нэг захиалгын сонголт → сагс → checkout → өөрийн захиалгын хяналтыг тодорхойлох.</w:t>
            </w:r>
          </w:p>
        </w:tc>
      </w:tr>
      <w:tr>
        <w:trPr>
          <w:cantSplit/>
        </w:trPr>
        <w:tc>
          <w:tcPr>
            <w:tcW w:w="3704" w:type="dxa"/>
            <w:vAlign w:val="top"/>
          </w:tcPr>
          <w:p>
            <w:pPr>
              <w:pStyle w:val="TableText"/>
            </w:pPr>
            <w:r>
              <w:rPr>
                <w:sz w:val="18"/>
              </w:rPr>
              <w:t xml:space="preserve">Ямар зүйлгүйгээр энэ үр дүнг тайлбарлаж болох вэ?</w:t>
            </w:r>
          </w:p>
        </w:tc>
        <w:tc>
          <w:tcPr>
            <w:tcW w:w="6160" w:type="dxa"/>
            <w:vAlign w:val="top"/>
          </w:tcPr>
          <w:p>
            <w:pPr>
              <w:pStyle w:val="TableText"/>
            </w:pPr>
            <w:r>
              <w:rPr>
                <w:sz w:val="18"/>
              </w:rPr>
              <w:t xml:space="preserve">Бүрэн restaurant CMS, зам оновчлох, loyalty campaign-ийн дэлгэрэнгүйгүйгээр customer урсгалын шаардлагыг бичиж болно.</w:t>
            </w:r>
          </w:p>
        </w:tc>
      </w:tr>
      <w:tr>
        <w:trPr>
          <w:cantSplit/>
        </w:trPr>
        <w:tc>
          <w:tcPr>
            <w:tcW w:w="3704" w:type="dxa"/>
            <w:vAlign w:val="top"/>
            <w:shd w:fill="F6F9FA" w:val="clear"/>
          </w:tcPr>
          <w:p>
            <w:pPr>
              <w:pStyle w:val="TableText"/>
            </w:pPr>
            <w:r>
              <w:rPr>
                <w:sz w:val="18"/>
              </w:rPr>
              <w:t xml:space="preserve">Юуг одоо баталгаажуулах боломжгүй вэ?</w:t>
            </w:r>
          </w:p>
        </w:tc>
        <w:tc>
          <w:tcPr>
            <w:tcW w:w="6160" w:type="dxa"/>
            <w:vAlign w:val="top"/>
            <w:shd w:fill="F6F9FA" w:val="clear"/>
          </w:tcPr>
          <w:p>
            <w:pPr>
              <w:pStyle w:val="TableText"/>
            </w:pPr>
            <w:r>
              <w:rPr>
                <w:sz w:val="18"/>
              </w:rPr>
              <w:t xml:space="preserve">Бодит payment/notification интеграц, үйлдвэрлэлийн ачаалал, хэрэглэгчийн ярилцлага, live courier map. Эдгээрийн төлөвийг таамаглал эсвэл хойшлуулсан ажил гэж тэмдэглэнэ.</w:t>
            </w:r>
          </w:p>
        </w:tc>
      </w:tr>
      <w:tr>
        <w:trPr>
          <w:cantSplit/>
        </w:trPr>
        <w:tc>
          <w:tcPr>
            <w:tcW w:w="3704" w:type="dxa"/>
            <w:vAlign w:val="top"/>
          </w:tcPr>
          <w:p>
            <w:pPr>
              <w:pStyle w:val="TableText"/>
            </w:pPr>
            <w:r>
              <w:rPr>
                <w:sz w:val="18"/>
              </w:rPr>
              <w:t xml:space="preserve">Хэт дэлгэрүүлсэн баримтын зардал юу вэ?</w:t>
            </w:r>
          </w:p>
        </w:tc>
        <w:tc>
          <w:tcPr>
            <w:tcW w:w="6160" w:type="dxa"/>
            <w:vAlign w:val="top"/>
          </w:tcPr>
          <w:p>
            <w:pPr>
              <w:pStyle w:val="TableText"/>
            </w:pPr>
            <w:r>
              <w:rPr>
                <w:sz w:val="18"/>
              </w:rPr>
              <w:t xml:space="preserve">Хэрэгжүүлээгүй дэд системийн тайлбар нь үндсэн шаардлагатай зөрчилдөх, шинэчлэлт хоцрох эрсдэл нэмнэ.</w:t>
            </w:r>
          </w:p>
        </w:tc>
      </w:tr>
      <w:tr>
        <w:trPr>
          <w:cantSplit/>
        </w:trPr>
        <w:tc>
          <w:tcPr>
            <w:tcW w:w="3704" w:type="dxa"/>
            <w:vAlign w:val="top"/>
            <w:shd w:fill="F6F9FA" w:val="clear"/>
          </w:tcPr>
          <w:p>
            <w:pPr>
              <w:pStyle w:val="TableText"/>
            </w:pPr>
            <w:r>
              <w:rPr>
                <w:sz w:val="18"/>
              </w:rPr>
              <w:t xml:space="preserve">Дараа шинэ шаардлага ирвэл яах вэ?</w:t>
            </w:r>
          </w:p>
        </w:tc>
        <w:tc>
          <w:tcPr>
            <w:tcW w:w="6160" w:type="dxa"/>
            <w:vAlign w:val="top"/>
            <w:shd w:fill="F6F9FA" w:val="clear"/>
          </w:tcPr>
          <w:p>
            <w:pPr>
              <w:pStyle w:val="TableText"/>
            </w:pPr>
            <w:r>
              <w:rPr>
                <w:sz w:val="18"/>
              </w:rPr>
              <w:t xml:space="preserve">Одоогийн ID, хамрах хүрээ, API/архитектур, тест, нотолгоонд үзүүлэх нөлөөг хамт шинэчилнэ.</w:t>
            </w:r>
          </w:p>
        </w:tc>
      </w:tr>
    </w:tbl>
    <w:p>
      <w:pPr>
        <w:pStyle w:val="Gap"/>
      </w:pPr>
    </w:p>
    <w:p>
      <w:pPr>
        <w:pStyle w:val="Normal"/>
      </w:pPr>
      <w:r>
        <w:rPr/>
        <w:t xml:space="preserve"/>
      </w:r>
      <w:r>
        <w:rPr>
          <w:b/>
        </w:rPr>
        <w:t xml:space="preserve">“Just enough” шийдвэр:</w:t>
      </w:r>
      <w:r>
        <w:rPr/>
        <w:t xml:space="preserve"> SRS-д системийн ажиглагдах ажиллагаа, хэмжиж болох чанар, хязгаар, интерфейсийг бичнэ. Сонгосон framework, cache, database зэрэг хэрэгжүүлэх шийдлийн үндэслэлийг </w:t>
      </w:r>
      <w:hyperlink r:id="rIdLink9">
        <w:r>
          <w:rPr>
            <w:color w:val="176D91"/>
            <w:u w:val="single"/>
          </w:rPr>
          <w:t xml:space="preserve">архитектурт</w:t>
        </w:r>
      </w:hyperlink>
      <w:r>
        <w:rPr/>
        <w:t xml:space="preserve"> байрлуулна.</w:t>
      </w:r>
    </w:p>
    <w:p>
      <w:pPr>
        <w:pStyle w:val="Heading2"/>
      </w:pPr>
      <w:r>
        <w:rPr/>
        <w:t xml:space="preserve">2. IEEE 830-ийн бүтцийн зураглал — US-2.1</w:t>
      </w:r>
    </w:p>
    <w:p>
      <w:pPr>
        <w:pStyle w:val="Normal"/>
      </w:pPr>
      <w:r>
        <w:rPr/>
        <w:t xml:space="preserve">Дараах нь </w:t>
      </w:r>
      <w:r>
        <w:rPr>
          <w:b/>
        </w:rPr>
        <w:t xml:space="preserve">W02 шатны түүхэн зураглал</w:t>
      </w:r>
      <w:r>
        <w:rPr/>
        <w:t xml:space="preserve">. </w:t>
      </w:r>
      <w:r>
        <w:rPr>
          <w:rFonts w:ascii="Consolas" w:hAnsi="Consolas" w:cs="Consolas"/>
          <w:shd w:fill="F0F5F3" w:val="clear"/>
        </w:rPr>
        <w:t xml:space="preserve">complete</w:t>
      </w:r>
      <w:r>
        <w:rPr/>
        <w:t xml:space="preserve"> нь тухайн үеийн эх баримтад агуулга бичигдсэн, </w:t>
      </w:r>
      <w:r>
        <w:rPr>
          <w:rFonts w:ascii="Consolas" w:hAnsi="Consolas" w:cs="Consolas"/>
          <w:shd w:fill="F0F5F3" w:val="clear"/>
        </w:rPr>
        <w:t xml:space="preserve">planned (W03)</w:t>
      </w:r>
      <w:r>
        <w:rPr/>
        <w:t xml:space="preserve"> нь дараа дэлгэрүүлэхээр төлөвлөсөн, </w:t>
      </w:r>
      <w:r>
        <w:rPr>
          <w:rFonts w:ascii="Consolas" w:hAnsi="Consolas" w:cs="Consolas"/>
          <w:shd w:fill="F0F5F3" w:val="clear"/>
        </w:rPr>
        <w:t xml:space="preserve">n-a</w:t>
      </w:r>
      <w:r>
        <w:rPr/>
        <w:t xml:space="preserve"> нь энэ төслийн хүрээнд хамаарахгүй гэсэн утгатай. Нэг мөрд яг нэг төлөв өгсөн. </w:t>
      </w:r>
      <w:r>
        <w:rPr>
          <w:rFonts w:ascii="Consolas" w:hAnsi="Consolas" w:cs="Consolas"/>
          <w:shd w:fill="F0F5F3" w:val="clear"/>
        </w:rPr>
        <w:t xml:space="preserve">complete</w:t>
      </w:r>
      <w:r>
        <w:rPr/>
        <w:t xml:space="preserve"> гэдэг нь ажилладаг бүтээгдэхүүнээр баталсан гэсэн утга агуулахгүй; дараа нь хийгдсэн W03 ажлыг W02 дээр буцаан дууссан мэт тэмдэглээгүй.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202"/>
        <w:gridCol w:w="2816"/>
        <w:gridCol w:w="1878"/>
        <w:gridCol w:w="2968"/>
      </w:tblGrid>
      <w:tr>
        <w:trPr>
          <w:cantSplit/>
          <w:tblHeader/>
        </w:trPr>
        <w:tc>
          <w:tcPr>
            <w:tcW w:w="2202" w:type="dxa"/>
            <w:vAlign w:val="top"/>
            <w:shd w:fill="E5EFEC" w:val="clear"/>
          </w:tcPr>
          <w:p>
            <w:pPr>
              <w:pStyle w:val="TableText"/>
            </w:pPr>
            <w:r>
              <w:rPr>
                <w:b/>
                <w:sz w:val="17"/>
              </w:rPr>
              <w:t xml:space="preserve">IEEE 830-ийн хэсэг</w:t>
            </w:r>
          </w:p>
        </w:tc>
        <w:tc>
          <w:tcPr>
            <w:tcW w:w="2816" w:type="dxa"/>
            <w:vAlign w:val="top"/>
            <w:shd w:fill="E5EFEC" w:val="clear"/>
          </w:tcPr>
          <w:p>
            <w:pPr>
              <w:pStyle w:val="TableText"/>
            </w:pPr>
            <w:r>
              <w:rPr>
                <w:b/>
                <w:sz w:val="17"/>
              </w:rPr>
              <w:t xml:space="preserve">FoodFlow-д оруулах агуулга</w:t>
            </w:r>
          </w:p>
        </w:tc>
        <w:tc>
          <w:tcPr>
            <w:tcW w:w="1878" w:type="dxa"/>
            <w:vAlign w:val="top"/>
            <w:shd w:fill="E5EFEC" w:val="clear"/>
          </w:tcPr>
          <w:p>
            <w:pPr>
              <w:pStyle w:val="TableText"/>
            </w:pPr>
            <w:r>
              <w:rPr>
                <w:b/>
                <w:sz w:val="17"/>
              </w:rPr>
              <w:t xml:space="preserve">W02 үеийн төлөв</w:t>
            </w:r>
          </w:p>
        </w:tc>
        <w:tc>
          <w:tcPr>
            <w:tcW w:w="2968" w:type="dxa"/>
            <w:vAlign w:val="top"/>
            <w:shd w:fill="E5EFEC" w:val="clear"/>
          </w:tcPr>
          <w:p>
            <w:pPr>
              <w:pStyle w:val="TableText"/>
            </w:pPr>
            <w:r>
              <w:rPr>
                <w:b/>
                <w:sz w:val="17"/>
              </w:rPr>
              <w:t xml:space="preserve">Үндэслэл / дараагийн байрлал</w:t>
            </w:r>
          </w:p>
        </w:tc>
      </w:tr>
      <w:tr>
        <w:trPr>
          <w:cantSplit/>
        </w:trPr>
        <w:tc>
          <w:tcPr>
            <w:tcW w:w="2202" w:type="dxa"/>
            <w:vAlign w:val="top"/>
          </w:tcPr>
          <w:p>
            <w:pPr>
              <w:pStyle w:val="TableText"/>
            </w:pPr>
            <w:r>
              <w:rPr>
                <w:sz w:val="17"/>
              </w:rPr>
              <w:t xml:space="preserve">1.1 Purpose</w:t>
            </w:r>
          </w:p>
        </w:tc>
        <w:tc>
          <w:tcPr>
            <w:tcW w:w="2816" w:type="dxa"/>
            <w:vAlign w:val="top"/>
          </w:tcPr>
          <w:p>
            <w:pPr>
              <w:pStyle w:val="TableText"/>
            </w:pPr>
            <w:r>
              <w:rPr>
                <w:sz w:val="17"/>
              </w:rPr>
              <w:t xml:space="preserve">SRS-ийн зорилго, уншигч, хэрэглэх шийдвэр</w:t>
            </w:r>
          </w:p>
        </w:tc>
        <w:tc>
          <w:tcPr>
            <w:tcW w:w="1878" w:type="dxa"/>
            <w:vAlign w:val="top"/>
          </w:tcPr>
          <w:p>
            <w:pPr>
              <w:pStyle w:val="TableText"/>
            </w:pPr>
            <w:r>
              <w:rPr>
                <w:rFonts w:ascii="Consolas" w:hAnsi="Consolas" w:cs="Consolas"/>
                <w:shd w:fill="F0F5F3" w:val="clear"/>
                <w:sz w:val="17"/>
              </w:rPr>
              <w:t xml:space="preserve">complete</w:t>
            </w:r>
          </w:p>
        </w:tc>
        <w:tc>
          <w:tcPr>
            <w:tcW w:w="2968" w:type="dxa"/>
            <w:vAlign w:val="top"/>
          </w:tcPr>
          <w:p>
            <w:pPr>
              <w:pStyle w:val="TableText"/>
            </w:pPr>
            <w:r>
              <w:rPr>
                <w:sz w:val="17"/>
              </w:rPr>
              <w:t xml:space="preserve">Scope Charter-д тодорхойлсон.</w:t>
            </w:r>
          </w:p>
        </w:tc>
      </w:tr>
      <w:tr>
        <w:trPr>
          <w:cantSplit/>
        </w:trPr>
        <w:tc>
          <w:tcPr>
            <w:tcW w:w="2202" w:type="dxa"/>
            <w:vAlign w:val="top"/>
            <w:shd w:fill="F6F9FA" w:val="clear"/>
          </w:tcPr>
          <w:p>
            <w:pPr>
              <w:pStyle w:val="TableText"/>
            </w:pPr>
            <w:r>
              <w:rPr>
                <w:sz w:val="17"/>
              </w:rPr>
              <w:t xml:space="preserve">1.2 Scope</w:t>
            </w:r>
          </w:p>
        </w:tc>
        <w:tc>
          <w:tcPr>
            <w:tcW w:w="2816" w:type="dxa"/>
            <w:vAlign w:val="top"/>
            <w:shd w:fill="F6F9FA" w:val="clear"/>
          </w:tcPr>
          <w:p>
            <w:pPr>
              <w:pStyle w:val="TableText"/>
            </w:pPr>
            <w:r>
              <w:rPr>
                <w:sz w:val="17"/>
              </w:rPr>
              <w:t xml:space="preserve">Эхний хувилбарын оруулах, хасах, хойшлуулах боломж</w:t>
            </w:r>
          </w:p>
        </w:tc>
        <w:tc>
          <w:tcPr>
            <w:tcW w:w="1878" w:type="dxa"/>
            <w:vAlign w:val="top"/>
            <w:shd w:fill="F6F9FA" w:val="clear"/>
          </w:tcPr>
          <w:p>
            <w:pPr>
              <w:pStyle w:val="TableText"/>
            </w:pPr>
            <w:r>
              <w:rPr>
                <w:rFonts w:ascii="Consolas" w:hAnsi="Consolas" w:cs="Consolas"/>
                <w:shd w:fill="F0F5F3" w:val="clear"/>
                <w:sz w:val="17"/>
              </w:rPr>
              <w:t xml:space="preserve">complete</w:t>
            </w:r>
          </w:p>
        </w:tc>
        <w:tc>
          <w:tcPr>
            <w:tcW w:w="2968" w:type="dxa"/>
            <w:vAlign w:val="top"/>
            <w:shd w:fill="F6F9FA" w:val="clear"/>
          </w:tcPr>
          <w:p>
            <w:pPr>
              <w:pStyle w:val="TableText"/>
            </w:pPr>
            <w:hyperlink r:id="rIdLink10">
              <w:r>
                <w:rPr>
                  <w:color w:val="176D91"/>
                  <w:u w:val="single"/>
                  <w:sz w:val="17"/>
                </w:rPr>
                <w:t xml:space="preserve">Scope Charter</w:t>
              </w:r>
            </w:hyperlink>
            <w:r>
              <w:rPr>
                <w:sz w:val="17"/>
              </w:rPr>
              <w:t xml:space="preserve">-д бий.</w:t>
            </w:r>
          </w:p>
        </w:tc>
      </w:tr>
      <w:tr>
        <w:trPr>
          <w:cantSplit/>
        </w:trPr>
        <w:tc>
          <w:tcPr>
            <w:tcW w:w="2202" w:type="dxa"/>
            <w:vAlign w:val="top"/>
          </w:tcPr>
          <w:p>
            <w:pPr>
              <w:pStyle w:val="TableText"/>
            </w:pPr>
            <w:r>
              <w:rPr>
                <w:sz w:val="17"/>
              </w:rPr>
              <w:t xml:space="preserve">1.3 Definitions, Acronyms, Abbreviations</w:t>
            </w:r>
          </w:p>
        </w:tc>
        <w:tc>
          <w:tcPr>
            <w:tcW w:w="2816" w:type="dxa"/>
            <w:vAlign w:val="top"/>
          </w:tcPr>
          <w:p>
            <w:pPr>
              <w:pStyle w:val="TableText"/>
            </w:pPr>
            <w:r>
              <w:rPr>
                <w:sz w:val="17"/>
              </w:rPr>
              <w:t xml:space="preserve">FR, NFR, order, idempotency, төлөвийн нэр</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Нэршлийг нэгдсэн glossary болон SRS-тэй нийцүүлнэ.</w:t>
            </w:r>
          </w:p>
        </w:tc>
      </w:tr>
      <w:tr>
        <w:trPr>
          <w:cantSplit/>
        </w:trPr>
        <w:tc>
          <w:tcPr>
            <w:tcW w:w="2202" w:type="dxa"/>
            <w:vAlign w:val="top"/>
            <w:shd w:fill="F6F9FA" w:val="clear"/>
          </w:tcPr>
          <w:p>
            <w:pPr>
              <w:pStyle w:val="TableText"/>
            </w:pPr>
            <w:r>
              <w:rPr>
                <w:sz w:val="17"/>
              </w:rPr>
              <w:t xml:space="preserve">1.4 References</w:t>
            </w:r>
          </w:p>
        </w:tc>
        <w:tc>
          <w:tcPr>
            <w:tcW w:w="2816" w:type="dxa"/>
            <w:vAlign w:val="top"/>
            <w:shd w:fill="F6F9FA" w:val="clear"/>
          </w:tcPr>
          <w:p>
            <w:pPr>
              <w:pStyle w:val="TableText"/>
            </w:pPr>
            <w:r>
              <w:rPr>
                <w:sz w:val="17"/>
              </w:rPr>
              <w:t xml:space="preserve">Handout, эх ажлын баримт, хэрэглэсэн стандарт</w:t>
            </w:r>
          </w:p>
        </w:tc>
        <w:tc>
          <w:tcPr>
            <w:tcW w:w="1878" w:type="dxa"/>
            <w:vAlign w:val="top"/>
            <w:shd w:fill="F6F9FA" w:val="clear"/>
          </w:tcPr>
          <w:p>
            <w:pPr>
              <w:pStyle w:val="TableText"/>
            </w:pPr>
            <w:r>
              <w:rPr>
                <w:rFonts w:ascii="Consolas" w:hAnsi="Consolas" w:cs="Consolas"/>
                <w:shd w:fill="F0F5F3" w:val="clear"/>
                <w:sz w:val="17"/>
              </w:rPr>
              <w:t xml:space="preserve">complete</w:t>
            </w:r>
          </w:p>
        </w:tc>
        <w:tc>
          <w:tcPr>
            <w:tcW w:w="2968" w:type="dxa"/>
            <w:vAlign w:val="top"/>
            <w:shd w:fill="F6F9FA" w:val="clear"/>
          </w:tcPr>
          <w:p>
            <w:pPr>
              <w:pStyle w:val="TableText"/>
            </w:pPr>
            <w:r>
              <w:rPr>
                <w:sz w:val="17"/>
              </w:rPr>
              <w:t xml:space="preserve">Энэ баримтын эх сурвалжийн хэсэгт жагсаасан.</w:t>
            </w:r>
          </w:p>
        </w:tc>
      </w:tr>
      <w:tr>
        <w:trPr>
          <w:cantSplit/>
        </w:trPr>
        <w:tc>
          <w:tcPr>
            <w:tcW w:w="2202" w:type="dxa"/>
            <w:vAlign w:val="top"/>
          </w:tcPr>
          <w:p>
            <w:pPr>
              <w:pStyle w:val="TableText"/>
            </w:pPr>
            <w:r>
              <w:rPr>
                <w:sz w:val="17"/>
              </w:rPr>
              <w:t xml:space="preserve">1.5 Overview</w:t>
            </w:r>
          </w:p>
        </w:tc>
        <w:tc>
          <w:tcPr>
            <w:tcW w:w="2816" w:type="dxa"/>
            <w:vAlign w:val="top"/>
          </w:tcPr>
          <w:p>
            <w:pPr>
              <w:pStyle w:val="TableText"/>
            </w:pPr>
            <w:r>
              <w:rPr>
                <w:sz w:val="17"/>
              </w:rPr>
              <w:t xml:space="preserve">Баримтын хэсэг, унших дараалал</w:t>
            </w:r>
          </w:p>
        </w:tc>
        <w:tc>
          <w:tcPr>
            <w:tcW w:w="1878" w:type="dxa"/>
            <w:vAlign w:val="top"/>
          </w:tcPr>
          <w:p>
            <w:pPr>
              <w:pStyle w:val="TableText"/>
            </w:pPr>
            <w:r>
              <w:rPr>
                <w:rFonts w:ascii="Consolas" w:hAnsi="Consolas" w:cs="Consolas"/>
                <w:shd w:fill="F0F5F3" w:val="clear"/>
                <w:sz w:val="17"/>
              </w:rPr>
              <w:t xml:space="preserve">complete</w:t>
            </w:r>
          </w:p>
        </w:tc>
        <w:tc>
          <w:tcPr>
            <w:tcW w:w="2968" w:type="dxa"/>
            <w:vAlign w:val="top"/>
          </w:tcPr>
          <w:p>
            <w:pPr>
              <w:pStyle w:val="TableText"/>
            </w:pPr>
            <w:r>
              <w:rPr>
                <w:sz w:val="17"/>
              </w:rPr>
              <w:t xml:space="preserve">Энэхүү зураглал ба W03 руу шилжих холбоос.</w:t>
            </w:r>
          </w:p>
        </w:tc>
      </w:tr>
      <w:tr>
        <w:trPr>
          <w:cantSplit/>
        </w:trPr>
        <w:tc>
          <w:tcPr>
            <w:tcW w:w="2202" w:type="dxa"/>
            <w:vAlign w:val="top"/>
            <w:shd w:fill="F6F9FA" w:val="clear"/>
          </w:tcPr>
          <w:p>
            <w:pPr>
              <w:pStyle w:val="TableText"/>
            </w:pPr>
            <w:r>
              <w:rPr>
                <w:sz w:val="17"/>
              </w:rPr>
              <w:t xml:space="preserve">2.1 Product Perspective</w:t>
            </w:r>
          </w:p>
        </w:tc>
        <w:tc>
          <w:tcPr>
            <w:tcW w:w="2816" w:type="dxa"/>
            <w:vAlign w:val="top"/>
            <w:shd w:fill="F6F9FA" w:val="clear"/>
          </w:tcPr>
          <w:p>
            <w:pPr>
              <w:pStyle w:val="TableText"/>
            </w:pPr>
            <w:r>
              <w:rPr>
                <w:sz w:val="17"/>
              </w:rPr>
              <w:t xml:space="preserve">Customer системийн хил, payment/notification зэрэг гаднах оролцогч</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hyperlink r:id="rIdLink11">
              <w:r>
                <w:rPr>
                  <w:color w:val="176D91"/>
                  <w:u w:val="single"/>
                  <w:sz w:val="17"/>
                </w:rPr>
                <w:t xml:space="preserve">SRS</w:t>
              </w:r>
            </w:hyperlink>
            <w:r>
              <w:rPr>
                <w:sz w:val="17"/>
              </w:rPr>
              <w:t xml:space="preserve">, дараа нь </w:t>
            </w:r>
            <w:hyperlink r:id="rIdLink12">
              <w:r>
                <w:rPr>
                  <w:color w:val="176D91"/>
                  <w:u w:val="single"/>
                  <w:sz w:val="17"/>
                </w:rPr>
                <w:t xml:space="preserve">архитектур</w:t>
              </w:r>
            </w:hyperlink>
            <w:r>
              <w:rPr>
                <w:sz w:val="17"/>
              </w:rPr>
              <w:t xml:space="preserve">.</w:t>
            </w:r>
          </w:p>
        </w:tc>
      </w:tr>
      <w:tr>
        <w:trPr>
          <w:cantSplit/>
        </w:trPr>
        <w:tc>
          <w:tcPr>
            <w:tcW w:w="2202" w:type="dxa"/>
            <w:vAlign w:val="top"/>
          </w:tcPr>
          <w:p>
            <w:pPr>
              <w:pStyle w:val="TableText"/>
            </w:pPr>
            <w:r>
              <w:rPr>
                <w:sz w:val="17"/>
              </w:rPr>
              <w:t xml:space="preserve">2.2 Product Functions</w:t>
            </w:r>
          </w:p>
        </w:tc>
        <w:tc>
          <w:tcPr>
            <w:tcW w:w="2816" w:type="dxa"/>
            <w:vAlign w:val="top"/>
          </w:tcPr>
          <w:p>
            <w:pPr>
              <w:pStyle w:val="TableText"/>
            </w:pPr>
            <w:r>
              <w:rPr>
                <w:sz w:val="17"/>
              </w:rPr>
              <w:t xml:space="preserve">Menu, Cart, Checkout, My Orders-ийн ерөнхий үүрэг</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Таван жишээнээс бүрэн шаардлагын багцад шилжинэ.</w:t>
            </w:r>
          </w:p>
        </w:tc>
      </w:tr>
      <w:tr>
        <w:trPr>
          <w:cantSplit/>
        </w:trPr>
        <w:tc>
          <w:tcPr>
            <w:tcW w:w="2202" w:type="dxa"/>
            <w:vAlign w:val="top"/>
            <w:shd w:fill="F6F9FA" w:val="clear"/>
          </w:tcPr>
          <w:p>
            <w:pPr>
              <w:pStyle w:val="TableText"/>
            </w:pPr>
            <w:r>
              <w:rPr>
                <w:sz w:val="17"/>
              </w:rPr>
              <w:t xml:space="preserve">2.3 User Characteristics</w:t>
            </w:r>
          </w:p>
        </w:tc>
        <w:tc>
          <w:tcPr>
            <w:tcW w:w="2816" w:type="dxa"/>
            <w:vAlign w:val="top"/>
            <w:shd w:fill="F6F9FA" w:val="clear"/>
          </w:tcPr>
          <w:p>
            <w:pPr>
              <w:pStyle w:val="TableText"/>
            </w:pPr>
            <w:r>
              <w:rPr>
                <w:sz w:val="17"/>
              </w:rPr>
              <w:t xml:space="preserve">Ану, support, customer-ийн үүрэг ба мэдлэг</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hyperlink r:id="rIdLink13">
              <w:r>
                <w:rPr>
                  <w:color w:val="176D91"/>
                  <w:u w:val="single"/>
                  <w:sz w:val="17"/>
                </w:rPr>
                <w:t xml:space="preserve">Persona</w:t>
              </w:r>
            </w:hyperlink>
            <w:r>
              <w:rPr>
                <w:sz w:val="17"/>
              </w:rPr>
              <w:t xml:space="preserve">-ийн хэрэгцээг SRS-д тусгана.</w:t>
            </w:r>
          </w:p>
        </w:tc>
      </w:tr>
      <w:tr>
        <w:trPr>
          <w:cantSplit/>
        </w:trPr>
        <w:tc>
          <w:tcPr>
            <w:tcW w:w="2202" w:type="dxa"/>
            <w:vAlign w:val="top"/>
          </w:tcPr>
          <w:p>
            <w:pPr>
              <w:pStyle w:val="TableText"/>
            </w:pPr>
            <w:r>
              <w:rPr>
                <w:sz w:val="17"/>
              </w:rPr>
              <w:t xml:space="preserve">2.4 Constraints</w:t>
            </w:r>
          </w:p>
        </w:tc>
        <w:tc>
          <w:tcPr>
            <w:tcW w:w="2816" w:type="dxa"/>
            <w:vAlign w:val="top"/>
          </w:tcPr>
          <w:p>
            <w:pPr>
              <w:pStyle w:val="TableText"/>
            </w:pPr>
            <w:r>
              <w:rPr>
                <w:sz w:val="17"/>
              </w:rPr>
              <w:t xml:space="preserve">HTTPS, JSON, үнийн нэгж, картын нууц мэдээллийн хил</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Баримтын хязгаар болон баталгаажаагүй таамгийг ялгана.</w:t>
            </w:r>
          </w:p>
        </w:tc>
      </w:tr>
      <w:tr>
        <w:trPr>
          <w:cantSplit/>
        </w:trPr>
        <w:tc>
          <w:tcPr>
            <w:tcW w:w="2202" w:type="dxa"/>
            <w:vAlign w:val="top"/>
            <w:shd w:fill="F6F9FA" w:val="clear"/>
          </w:tcPr>
          <w:p>
            <w:pPr>
              <w:pStyle w:val="TableText"/>
            </w:pPr>
            <w:r>
              <w:rPr>
                <w:sz w:val="17"/>
              </w:rPr>
              <w:t xml:space="preserve">2.5 Assumptions and Dependencies</w:t>
            </w:r>
          </w:p>
        </w:tc>
        <w:tc>
          <w:tcPr>
            <w:tcW w:w="2816" w:type="dxa"/>
            <w:vAlign w:val="top"/>
            <w:shd w:fill="F6F9FA" w:val="clear"/>
          </w:tcPr>
          <w:p>
            <w:pPr>
              <w:pStyle w:val="TableText"/>
            </w:pPr>
            <w:r>
              <w:rPr>
                <w:sz w:val="17"/>
              </w:rPr>
              <w:t xml:space="preserve">Гадаад provider, каталог, хэрэглэгчийн таних үйлчилгээ</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Эзэн, нөлөө, баталгаажуулах аргыг нэмнэ.</w:t>
            </w:r>
          </w:p>
        </w:tc>
      </w:tr>
      <w:tr>
        <w:trPr>
          <w:cantSplit/>
        </w:trPr>
        <w:tc>
          <w:tcPr>
            <w:tcW w:w="2202" w:type="dxa"/>
            <w:vAlign w:val="top"/>
          </w:tcPr>
          <w:p>
            <w:pPr>
              <w:pStyle w:val="TableText"/>
            </w:pPr>
            <w:r>
              <w:rPr>
                <w:sz w:val="17"/>
              </w:rPr>
              <w:t xml:space="preserve">2.6 Apportioning of Requirements</w:t>
            </w:r>
          </w:p>
        </w:tc>
        <w:tc>
          <w:tcPr>
            <w:tcW w:w="2816" w:type="dxa"/>
            <w:vAlign w:val="top"/>
          </w:tcPr>
          <w:p>
            <w:pPr>
              <w:pStyle w:val="TableText"/>
            </w:pPr>
            <w:r>
              <w:rPr>
                <w:sz w:val="17"/>
              </w:rPr>
              <w:t xml:space="preserve">Хойшлуулсан promo, loyalty, courier map</w:t>
            </w:r>
          </w:p>
        </w:tc>
        <w:tc>
          <w:tcPr>
            <w:tcW w:w="1878" w:type="dxa"/>
            <w:vAlign w:val="top"/>
          </w:tcPr>
          <w:p>
            <w:pPr>
              <w:pStyle w:val="TableText"/>
            </w:pPr>
            <w:r>
              <w:rPr>
                <w:rFonts w:ascii="Consolas" w:hAnsi="Consolas" w:cs="Consolas"/>
                <w:shd w:fill="F0F5F3" w:val="clear"/>
                <w:sz w:val="17"/>
              </w:rPr>
              <w:t xml:space="preserve">complete</w:t>
            </w:r>
          </w:p>
        </w:tc>
        <w:tc>
          <w:tcPr>
            <w:tcW w:w="2968" w:type="dxa"/>
            <w:vAlign w:val="top"/>
          </w:tcPr>
          <w:p>
            <w:pPr>
              <w:pStyle w:val="TableText"/>
            </w:pPr>
            <w:r>
              <w:rPr>
                <w:sz w:val="17"/>
              </w:rPr>
              <w:t xml:space="preserve">Charter-ийн хойшлуулсан боломжуудад бий.</w:t>
            </w:r>
          </w:p>
        </w:tc>
      </w:tr>
      <w:tr>
        <w:trPr>
          <w:cantSplit/>
        </w:trPr>
        <w:tc>
          <w:tcPr>
            <w:tcW w:w="2202" w:type="dxa"/>
            <w:vAlign w:val="top"/>
            <w:shd w:fill="F6F9FA" w:val="clear"/>
          </w:tcPr>
          <w:p>
            <w:pPr>
              <w:pStyle w:val="TableText"/>
            </w:pPr>
            <w:r>
              <w:rPr>
                <w:sz w:val="17"/>
              </w:rPr>
              <w:t xml:space="preserve">3.1 External Interface Requirements</w:t>
            </w:r>
          </w:p>
        </w:tc>
        <w:tc>
          <w:tcPr>
            <w:tcW w:w="2816" w:type="dxa"/>
            <w:vAlign w:val="top"/>
            <w:shd w:fill="F6F9FA" w:val="clear"/>
          </w:tcPr>
          <w:p>
            <w:pPr>
              <w:pStyle w:val="TableText"/>
            </w:pPr>
            <w:r>
              <w:rPr>
                <w:sz w:val="17"/>
              </w:rPr>
              <w:t xml:space="preserve">UI, HTTP API, payment, notification-ийн гэрээ</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W03-д хэрэглээний хил; W05-д сонгосон OpenAPI гэрээ.</w:t>
            </w:r>
          </w:p>
        </w:tc>
      </w:tr>
      <w:tr>
        <w:trPr>
          <w:cantSplit/>
        </w:trPr>
        <w:tc>
          <w:tcPr>
            <w:tcW w:w="2202" w:type="dxa"/>
            <w:vAlign w:val="top"/>
          </w:tcPr>
          <w:p>
            <w:pPr>
              <w:pStyle w:val="TableText"/>
            </w:pPr>
            <w:r>
              <w:rPr>
                <w:sz w:val="17"/>
              </w:rPr>
              <w:t xml:space="preserve">3.1 Hardware Interfaces</w:t>
            </w:r>
          </w:p>
        </w:tc>
        <w:tc>
          <w:tcPr>
            <w:tcW w:w="2816" w:type="dxa"/>
            <w:vAlign w:val="top"/>
          </w:tcPr>
          <w:p>
            <w:pPr>
              <w:pStyle w:val="TableText"/>
            </w:pPr>
            <w:r>
              <w:rPr>
                <w:sz w:val="17"/>
              </w:rPr>
              <w:t xml:space="preserve">Тусгай төхөөрөмжийн шууд порт, драйвер</w:t>
            </w:r>
          </w:p>
        </w:tc>
        <w:tc>
          <w:tcPr>
            <w:tcW w:w="1878" w:type="dxa"/>
            <w:vAlign w:val="top"/>
          </w:tcPr>
          <w:p>
            <w:pPr>
              <w:pStyle w:val="TableText"/>
            </w:pPr>
            <w:r>
              <w:rPr>
                <w:rFonts w:ascii="Consolas" w:hAnsi="Consolas" w:cs="Consolas"/>
                <w:shd w:fill="F0F5F3" w:val="clear"/>
                <w:sz w:val="17"/>
              </w:rPr>
              <w:t xml:space="preserve">n-a</w:t>
            </w:r>
          </w:p>
        </w:tc>
        <w:tc>
          <w:tcPr>
            <w:tcW w:w="2968" w:type="dxa"/>
            <w:vAlign w:val="top"/>
          </w:tcPr>
          <w:p>
            <w:pPr>
              <w:pStyle w:val="TableText"/>
            </w:pPr>
            <w:r>
              <w:rPr>
                <w:sz w:val="17"/>
              </w:rPr>
              <w:t xml:space="preserve">FoodFlow-ийн энэ хүрээ веб/HTTP хэрэглээ тул тусгай төхөөрөмжтэй шууд интерфейс тодорхойлохгүй.</w:t>
            </w:r>
          </w:p>
        </w:tc>
      </w:tr>
      <w:tr>
        <w:trPr>
          <w:cantSplit/>
        </w:trPr>
        <w:tc>
          <w:tcPr>
            <w:tcW w:w="2202" w:type="dxa"/>
            <w:vAlign w:val="top"/>
            <w:shd w:fill="F6F9FA" w:val="clear"/>
          </w:tcPr>
          <w:p>
            <w:pPr>
              <w:pStyle w:val="TableText"/>
            </w:pPr>
            <w:r>
              <w:rPr>
                <w:sz w:val="17"/>
              </w:rPr>
              <w:t xml:space="preserve">3.2 Functional Requirements</w:t>
            </w:r>
          </w:p>
        </w:tc>
        <w:tc>
          <w:tcPr>
            <w:tcW w:w="2816" w:type="dxa"/>
            <w:vAlign w:val="top"/>
            <w:shd w:fill="F6F9FA" w:val="clear"/>
          </w:tcPr>
          <w:p>
            <w:pPr>
              <w:pStyle w:val="TableText"/>
            </w:pPr>
            <w:r>
              <w:rPr>
                <w:sz w:val="17"/>
              </w:rPr>
              <w:t xml:space="preserve">Menu-ээс захиалгын хяналт хүртэлх FR-үүд</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W02-д доорх таван жишээний гурван FR-ийг эхлүүлсэн.</w:t>
            </w:r>
          </w:p>
        </w:tc>
      </w:tr>
      <w:tr>
        <w:trPr>
          <w:cantSplit/>
        </w:trPr>
        <w:tc>
          <w:tcPr>
            <w:tcW w:w="2202" w:type="dxa"/>
            <w:vAlign w:val="top"/>
          </w:tcPr>
          <w:p>
            <w:pPr>
              <w:pStyle w:val="TableText"/>
            </w:pPr>
            <w:r>
              <w:rPr>
                <w:sz w:val="17"/>
              </w:rPr>
              <w:t xml:space="preserve">3.3 Performance Requirements</w:t>
            </w:r>
          </w:p>
        </w:tc>
        <w:tc>
          <w:tcPr>
            <w:tcW w:w="2816" w:type="dxa"/>
            <w:vAlign w:val="top"/>
          </w:tcPr>
          <w:p>
            <w:pPr>
              <w:pStyle w:val="TableText"/>
            </w:pPr>
            <w:r>
              <w:rPr>
                <w:sz w:val="17"/>
              </w:rPr>
              <w:t xml:space="preserve">LCP, серверийн latency, ачааллын орчин</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Хэмжүүр, орчин, test procedure-ийг тусад нь тодорхойлно.</w:t>
            </w:r>
          </w:p>
        </w:tc>
      </w:tr>
      <w:tr>
        <w:trPr>
          <w:cantSplit/>
        </w:trPr>
        <w:tc>
          <w:tcPr>
            <w:tcW w:w="2202" w:type="dxa"/>
            <w:vAlign w:val="top"/>
            <w:shd w:fill="F6F9FA" w:val="clear"/>
          </w:tcPr>
          <w:p>
            <w:pPr>
              <w:pStyle w:val="TableText"/>
            </w:pPr>
            <w:r>
              <w:rPr>
                <w:sz w:val="17"/>
              </w:rPr>
              <w:t xml:space="preserve">3.4 Logical Database Requirements</w:t>
            </w:r>
          </w:p>
        </w:tc>
        <w:tc>
          <w:tcPr>
            <w:tcW w:w="2816" w:type="dxa"/>
            <w:vAlign w:val="top"/>
            <w:shd w:fill="F6F9FA" w:val="clear"/>
          </w:tcPr>
          <w:p>
            <w:pPr>
              <w:pStyle w:val="TableText"/>
            </w:pPr>
            <w:r>
              <w:rPr>
                <w:sz w:val="17"/>
              </w:rPr>
              <w:t xml:space="preserve">Захиалга, хэрэглэгчийн эзэмшил, мөнгөн дүнгийн өгөгдлийн дүрэм</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Зан төлөвийг тодорхойлно; физик database сонголт нь архитектурын шийдвэр.</w:t>
            </w:r>
          </w:p>
        </w:tc>
      </w:tr>
      <w:tr>
        <w:trPr>
          <w:cantSplit/>
        </w:trPr>
        <w:tc>
          <w:tcPr>
            <w:tcW w:w="2202" w:type="dxa"/>
            <w:vAlign w:val="top"/>
          </w:tcPr>
          <w:p>
            <w:pPr>
              <w:pStyle w:val="TableText"/>
            </w:pPr>
            <w:r>
              <w:rPr>
                <w:sz w:val="17"/>
              </w:rPr>
              <w:t xml:space="preserve">3.5 Design Constraints</w:t>
            </w:r>
          </w:p>
        </w:tc>
        <w:tc>
          <w:tcPr>
            <w:tcW w:w="2816" w:type="dxa"/>
            <w:vAlign w:val="top"/>
          </w:tcPr>
          <w:p>
            <w:pPr>
              <w:pStyle w:val="TableText"/>
            </w:pPr>
            <w:r>
              <w:rPr>
                <w:sz w:val="17"/>
              </w:rPr>
              <w:t xml:space="preserve">Гэрээ, аюулгүй байдал, нийцлийн зайлшгүй хязгаар</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Архитектурын сонголт бүрийг зайлшгүй шаардлага гэж андуурахгүй.</w:t>
            </w:r>
          </w:p>
        </w:tc>
      </w:tr>
      <w:tr>
        <w:trPr>
          <w:cantSplit/>
        </w:trPr>
        <w:tc>
          <w:tcPr>
            <w:tcW w:w="2202" w:type="dxa"/>
            <w:vAlign w:val="top"/>
            <w:shd w:fill="F6F9FA" w:val="clear"/>
          </w:tcPr>
          <w:p>
            <w:pPr>
              <w:pStyle w:val="TableText"/>
            </w:pPr>
            <w:r>
              <w:rPr>
                <w:sz w:val="17"/>
              </w:rPr>
              <w:t xml:space="preserve">3.6 Software System Attributes</w:t>
            </w:r>
          </w:p>
        </w:tc>
        <w:tc>
          <w:tcPr>
            <w:tcW w:w="2816" w:type="dxa"/>
            <w:vAlign w:val="top"/>
            <w:shd w:fill="F6F9FA" w:val="clear"/>
          </w:tcPr>
          <w:p>
            <w:pPr>
              <w:pStyle w:val="TableText"/>
            </w:pPr>
            <w:r>
              <w:rPr>
                <w:sz w:val="17"/>
              </w:rPr>
              <w:t xml:space="preserve">Security, availability, maintainability зэрэг хэмжигдэх чанар</w:t>
            </w:r>
          </w:p>
        </w:tc>
        <w:tc>
          <w:tcPr>
            <w:tcW w:w="1878" w:type="dxa"/>
            <w:vAlign w:val="top"/>
            <w:shd w:fill="F6F9FA" w:val="clear"/>
          </w:tcPr>
          <w:p>
            <w:pPr>
              <w:pStyle w:val="TableText"/>
            </w:pPr>
            <w:r>
              <w:rPr>
                <w:rFonts w:ascii="Consolas" w:hAnsi="Consolas" w:cs="Consolas"/>
                <w:shd w:fill="F0F5F3" w:val="clear"/>
                <w:sz w:val="17"/>
              </w:rPr>
              <w:t xml:space="preserve">planned (W03)</w:t>
            </w:r>
          </w:p>
        </w:tc>
        <w:tc>
          <w:tcPr>
            <w:tcW w:w="2968" w:type="dxa"/>
            <w:vAlign w:val="top"/>
            <w:shd w:fill="F6F9FA" w:val="clear"/>
          </w:tcPr>
          <w:p>
            <w:pPr>
              <w:pStyle w:val="TableText"/>
            </w:pPr>
            <w:r>
              <w:rPr>
                <w:sz w:val="17"/>
              </w:rPr>
              <w:t xml:space="preserve">Нэгдсэн NFR багц руу шилжинэ.</w:t>
            </w:r>
          </w:p>
        </w:tc>
      </w:tr>
      <w:tr>
        <w:trPr>
          <w:cantSplit/>
        </w:trPr>
        <w:tc>
          <w:tcPr>
            <w:tcW w:w="2202" w:type="dxa"/>
            <w:vAlign w:val="top"/>
          </w:tcPr>
          <w:p>
            <w:pPr>
              <w:pStyle w:val="TableText"/>
            </w:pPr>
            <w:r>
              <w:rPr>
                <w:sz w:val="17"/>
              </w:rPr>
              <w:t xml:space="preserve">Appendices / supporting information</w:t>
            </w:r>
          </w:p>
        </w:tc>
        <w:tc>
          <w:tcPr>
            <w:tcW w:w="2816" w:type="dxa"/>
            <w:vAlign w:val="top"/>
          </w:tcPr>
          <w:p>
            <w:pPr>
              <w:pStyle w:val="TableText"/>
            </w:pPr>
            <w:r>
              <w:rPr>
                <w:sz w:val="17"/>
              </w:rPr>
              <w:t xml:space="preserve">Мөрдөх хүснэгт, тайлбар, test procedure</w:t>
            </w:r>
          </w:p>
        </w:tc>
        <w:tc>
          <w:tcPr>
            <w:tcW w:w="1878" w:type="dxa"/>
            <w:vAlign w:val="top"/>
          </w:tcPr>
          <w:p>
            <w:pPr>
              <w:pStyle w:val="TableText"/>
            </w:pPr>
            <w:r>
              <w:rPr>
                <w:rFonts w:ascii="Consolas" w:hAnsi="Consolas" w:cs="Consolas"/>
                <w:shd w:fill="F0F5F3" w:val="clear"/>
                <w:sz w:val="17"/>
              </w:rPr>
              <w:t xml:space="preserve">planned (W03)</w:t>
            </w:r>
          </w:p>
        </w:tc>
        <w:tc>
          <w:tcPr>
            <w:tcW w:w="2968" w:type="dxa"/>
            <w:vAlign w:val="top"/>
          </w:tcPr>
          <w:p>
            <w:pPr>
              <w:pStyle w:val="TableText"/>
            </w:pPr>
            <w:r>
              <w:rPr>
                <w:sz w:val="17"/>
              </w:rPr>
              <w:t xml:space="preserve">W02-ийн найман баганатай эхлэлийг бүх шаардлагад өргөжүүлнэ.</w:t>
            </w:r>
          </w:p>
        </w:tc>
      </w:tr>
    </w:tbl>
    <w:p>
      <w:pPr>
        <w:pStyle w:val="Gap"/>
      </w:pPr>
    </w:p>
    <w:p>
      <w:pPr>
        <w:pStyle w:val="Normal"/>
      </w:pPr>
      <w:r>
        <w:rPr/>
        <w:t xml:space="preserve">IEEE 830-1998 нь даалгаварт ашигласан түүхэн SRS бүтцийн эх; ISO/IEC/IEEE 29148:2018 нь requirements engineering-ийн процессыг хамарна. Эдгээрийг нэг стандарт мэт нэрлэхгүй. Албан ёсны бүртгэлүүд: </w:t>
      </w:r>
      <w:hyperlink r:id="rIdLink14">
        <w:r>
          <w:rPr>
            <w:color w:val="176D91"/>
            <w:u w:val="single"/>
          </w:rPr>
          <w:t xml:space="preserve">IEEE 830-1998</w:t>
        </w:r>
      </w:hyperlink>
      <w:r>
        <w:rPr/>
        <w:t xml:space="preserve">, </w:t>
      </w:r>
      <w:hyperlink r:id="rIdLink15">
        <w:r>
          <w:rPr>
            <w:color w:val="176D91"/>
            <w:u w:val="single"/>
          </w:rPr>
          <w:t xml:space="preserve">ISO/IEC/IEEE 29148:2018</w:t>
        </w:r>
      </w:hyperlink>
      <w:r>
        <w:rPr/>
        <w:t xml:space="preserve">. Энэ багц нь стандартаар баталгаажсан conformity assessment биш.</w:t>
      </w:r>
    </w:p>
    <w:p>
      <w:pPr>
        <w:pStyle w:val="Heading2"/>
      </w:pPr>
      <w:r>
        <w:rPr/>
        <w:t xml:space="preserve">3. Шалгаж болох таван шаардлага — US-2.2</w:t>
      </w:r>
    </w:p>
    <w:p>
      <w:pPr>
        <w:pStyle w:val="Normal"/>
      </w:pPr>
      <w:r>
        <w:rPr/>
        <w:t xml:space="preserve">Доорх таван ID-г хэрэглэгчийн </w:t>
      </w:r>
      <w:r>
        <w:rPr>
          <w:rFonts w:ascii="Consolas" w:hAnsi="Consolas" w:cs="Consolas"/>
          <w:shd w:fill="F0F5F3" w:val="clear"/>
        </w:rPr>
        <w:t xml:space="preserve">Week_02_FoodFlow.docx</w:t>
      </w:r>
      <w:r>
        <w:rPr/>
        <w:t xml:space="preserve"> болон дараагийн </w:t>
      </w:r>
      <w:r>
        <w:rPr>
          <w:rFonts w:ascii="Consolas" w:hAnsi="Consolas" w:cs="Consolas"/>
          <w:shd w:fill="F0F5F3" w:val="clear"/>
        </w:rPr>
        <w:t xml:space="preserve">Week_03_FoodFlow.docx</w:t>
      </w:r>
      <w:r>
        <w:rPr/>
        <w:t xml:space="preserve">-ийн утгаар хадгалсан. Одоогийн үндсэн эх нь </w:t>
      </w:r>
      <w:hyperlink r:id="rIdLink16">
        <w:r>
          <w:rPr>
            <w:color w:val="176D91"/>
            <w:u w:val="single"/>
          </w:rPr>
          <w:t xml:space="preserve">SRS</w:t>
        </w:r>
      </w:hyperlink>
      <w:r>
        <w:rPr/>
        <w:t xml:space="preserve">; энэ хэсэг W02-д шаардлага хэрхэн бичсэнийг тайлбарлана. Эхний тайлангийн зарим test-ийг хэмжүүр, давтан хүсэлт, шалгалтын хязгаар нь тодорхой байхаар найруулав.</w:t>
      </w:r>
    </w:p>
    <w:p>
      <w:pPr>
        <w:pStyle w:val="Normal"/>
      </w:pPr>
      <w:r>
        <w:rPr/>
        <w:t xml:space="preserve"/>
      </w:r>
      <w:r>
        <w:rPr>
          <w:b/>
        </w:rPr>
        <w:t xml:space="preserve">Эрэмбэ:</w:t>
      </w:r>
      <w:r>
        <w:rPr/>
        <w:t xml:space="preserve"> Эдгээр таван жишээ бүгд </w:t>
      </w:r>
      <w:r>
        <w:rPr>
          <w:rFonts w:ascii="Consolas" w:hAnsi="Consolas" w:cs="Consolas"/>
          <w:shd w:fill="F0F5F3" w:val="clear"/>
        </w:rPr>
        <w:t xml:space="preserve">MUST</w:t>
      </w:r>
      <w:r>
        <w:rPr/>
        <w:t xml:space="preserve"> буюу эхний суурь хувилбарт зайлшгүй. Шаардлагын өгүүлбэрт “should” зэрэг заавал биелэх эсэх нь бүдэг үг ашиглаагүй. </w:t>
      </w:r>
      <w:r>
        <w:rPr>
          <w:rFonts w:ascii="Consolas" w:hAnsi="Consolas" w:cs="Consolas"/>
          <w:shd w:fill="F0F5F3" w:val="clear"/>
        </w:rPr>
        <w:t xml:space="preserve">Owner</w:t>
      </w:r>
      <w:r>
        <w:rPr/>
        <w:t xml:space="preserve"> нь санал болгосон хянан батлах </w:t>
      </w:r>
      <w:r>
        <w:rPr>
          <w:b/>
        </w:rPr>
        <w:t xml:space="preserve">үүрэг</w:t>
      </w:r>
      <w:r>
        <w:rPr/>
        <w:t xml:space="preserve">, бодит хүний нэр эсвэл ярилцлага хийсэн тухай мэдэгдэл биш. </w:t>
      </w:r>
      <w:r>
        <w:rPr>
          <w:rFonts w:ascii="Consolas" w:hAnsi="Consolas" w:cs="Consolas"/>
          <w:shd w:fill="F0F5F3" w:val="clear"/>
        </w:rPr>
        <w:t xml:space="preserve">Verification</w:t>
      </w:r>
      <w:r>
        <w:rPr/>
        <w:t xml:space="preserve"> нь хийх шалгалтын арга; амжилттай гүйцэтгэсэн үр дүнг тусдаа нотолгоогоор бүртгэнэ.</w:t>
      </w:r>
    </w:p>
    <w:p>
      <w:pPr>
        <w:pStyle w:val="Heading3"/>
      </w:pPr>
      <w:r>
        <w:rPr/>
        <w:t xml:space="preserve">FR-01 — Хоолны жагсаалт</w:t>
      </w:r>
    </w:p>
    <w:p>
      <w:pPr>
        <w:pStyle w:val="Normal"/>
      </w:pPr>
      <w:r>
        <w:rPr/>
        <w:t xml:space="preserve"/>
      </w:r>
      <w:r>
        <w:rPr>
          <w:b/>
        </w:rPr>
        <w:t xml:space="preserve">Шаардлага:</w:t>
      </w:r>
      <w:r>
        <w:rPr/>
        <w:t xml:space="preserve"> Систем Menu-д идэвхтэй хоол бүрийн нэр, үнэ, зураг, товч тайлбарыг харуулна. </w:t>
      </w:r>
      <w:r>
        <w:rPr>
          <w:b/>
        </w:rPr>
        <w:t xml:space="preserve">Төрөл / эрэмбэ:</w:t>
      </w:r>
      <w:r>
        <w:rPr/>
        <w:t xml:space="preserve"> FR / MUST. </w:t>
      </w:r>
      <w:r>
        <w:rPr>
          <w:b/>
        </w:rPr>
        <w:t xml:space="preserve">Owner:</w:t>
      </w:r>
      <w:r>
        <w:rPr/>
        <w:t xml:space="preserve"> Product owner. </w:t>
      </w:r>
      <w:r>
        <w:rPr>
          <w:b/>
        </w:rPr>
        <w:t xml:space="preserve">Эх сурвалж:</w:t>
      </w:r>
      <w:r>
        <w:rPr/>
        <w:t xml:space="preserve"> FoodFlow-ийн Menu урсгал, Анугийн эхний интеграцийн хэрэгцээ; бодит interview record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102"/>
        <w:gridCol w:w="6762"/>
      </w:tblGrid>
      <w:tr>
        <w:trPr>
          <w:cantSplit/>
          <w:tblHeader/>
        </w:trPr>
        <w:tc>
          <w:tcPr>
            <w:tcW w:w="3102" w:type="dxa"/>
            <w:vAlign w:val="top"/>
            <w:shd w:fill="E5EFEC" w:val="clear"/>
          </w:tcPr>
          <w:p>
            <w:pPr>
              <w:pStyle w:val="TableText"/>
            </w:pPr>
            <w:r>
              <w:rPr>
                <w:b/>
                <w:sz w:val="18"/>
              </w:rPr>
              <w:t xml:space="preserve">Шалгах хэсэг</w:t>
            </w:r>
          </w:p>
        </w:tc>
        <w:tc>
          <w:tcPr>
            <w:tcW w:w="6762" w:type="dxa"/>
            <w:vAlign w:val="top"/>
            <w:shd w:fill="E5EFEC" w:val="clear"/>
          </w:tcPr>
          <w:p>
            <w:pPr>
              <w:pStyle w:val="TableText"/>
            </w:pPr>
            <w:r>
              <w:rPr>
                <w:b/>
                <w:sz w:val="18"/>
              </w:rPr>
              <w:t xml:space="preserve">Тодорхойлолт</w:t>
            </w:r>
          </w:p>
        </w:tc>
      </w:tr>
      <w:tr>
        <w:trPr>
          <w:cantSplit/>
        </w:trPr>
        <w:tc>
          <w:tcPr>
            <w:tcW w:w="3102" w:type="dxa"/>
            <w:vAlign w:val="top"/>
          </w:tcPr>
          <w:p>
            <w:pPr>
              <w:pStyle w:val="TableText"/>
            </w:pPr>
            <w:r>
              <w:rPr>
                <w:sz w:val="18"/>
              </w:rPr>
              <w:t xml:space="preserve">Given</w:t>
            </w:r>
          </w:p>
        </w:tc>
        <w:tc>
          <w:tcPr>
            <w:tcW w:w="6762" w:type="dxa"/>
            <w:vAlign w:val="top"/>
          </w:tcPr>
          <w:p>
            <w:pPr>
              <w:pStyle w:val="TableText"/>
            </w:pPr>
            <w:r>
              <w:rPr>
                <w:sz w:val="18"/>
              </w:rPr>
              <w:t xml:space="preserve">ID нь ялгаатай 10 active, 2 inactive хоол; required талбарууд бүрэн test fixture.</w:t>
            </w:r>
          </w:p>
        </w:tc>
      </w:tr>
      <w:tr>
        <w:trPr>
          <w:cantSplit/>
        </w:trPr>
        <w:tc>
          <w:tcPr>
            <w:tcW w:w="3102" w:type="dxa"/>
            <w:vAlign w:val="top"/>
            <w:shd w:fill="F6F9FA" w:val="clear"/>
          </w:tcPr>
          <w:p>
            <w:pPr>
              <w:pStyle w:val="TableText"/>
            </w:pPr>
            <w:r>
              <w:rPr>
                <w:sz w:val="18"/>
              </w:rPr>
              <w:t xml:space="preserve">When</w:t>
            </w:r>
          </w:p>
        </w:tc>
        <w:tc>
          <w:tcPr>
            <w:tcW w:w="6762" w:type="dxa"/>
            <w:vAlign w:val="top"/>
            <w:shd w:fill="F6F9FA" w:val="clear"/>
          </w:tcPr>
          <w:p>
            <w:pPr>
              <w:pStyle w:val="TableText"/>
            </w:pPr>
            <w:r>
              <w:rPr>
                <w:sz w:val="18"/>
              </w:rPr>
              <w:t xml:space="preserve">Menu жагсаалтыг шинэ сессэд нээнэ.</w:t>
            </w:r>
          </w:p>
        </w:tc>
      </w:tr>
      <w:tr>
        <w:trPr>
          <w:cantSplit/>
        </w:trPr>
        <w:tc>
          <w:tcPr>
            <w:tcW w:w="3102" w:type="dxa"/>
            <w:vAlign w:val="top"/>
          </w:tcPr>
          <w:p>
            <w:pPr>
              <w:pStyle w:val="TableText"/>
            </w:pPr>
            <w:r>
              <w:rPr>
                <w:sz w:val="18"/>
              </w:rPr>
              <w:t xml:space="preserve">Then</w:t>
            </w:r>
          </w:p>
        </w:tc>
        <w:tc>
          <w:tcPr>
            <w:tcW w:w="6762" w:type="dxa"/>
            <w:vAlign w:val="top"/>
          </w:tcPr>
          <w:p>
            <w:pPr>
              <w:pStyle w:val="TableText"/>
            </w:pPr>
            <w:r>
              <w:rPr>
                <w:sz w:val="18"/>
              </w:rPr>
              <w:t xml:space="preserve">Active 10 хоол бүгд харагдаж, inactive 2 хоол харагдахгүй; харагдсан хоол бүрийн дөрвөн талбар fixture-тэй таарна.</w:t>
            </w:r>
          </w:p>
        </w:tc>
      </w:tr>
      <w:tr>
        <w:trPr>
          <w:cantSplit/>
        </w:trPr>
        <w:tc>
          <w:tcPr>
            <w:tcW w:w="3102" w:type="dxa"/>
            <w:vAlign w:val="top"/>
            <w:shd w:fill="F6F9FA" w:val="clear"/>
          </w:tcPr>
          <w:p>
            <w:pPr>
              <w:pStyle w:val="TableText"/>
            </w:pPr>
            <w:r>
              <w:rPr>
                <w:sz w:val="18"/>
              </w:rPr>
              <w:t xml:space="preserve">Pass / fail</w:t>
            </w:r>
          </w:p>
        </w:tc>
        <w:tc>
          <w:tcPr>
            <w:tcW w:w="6762" w:type="dxa"/>
            <w:vAlign w:val="top"/>
            <w:shd w:fill="F6F9FA" w:val="clear"/>
          </w:tcPr>
          <w:p>
            <w:pPr>
              <w:pStyle w:val="TableText"/>
            </w:pPr>
            <w:r>
              <w:rPr>
                <w:sz w:val="18"/>
              </w:rPr>
              <w:t xml:space="preserve">10/10 active, 0/2 inactive; нэг ч хоол эсвэл required талбар зөрвөл fail.</w:t>
            </w:r>
          </w:p>
        </w:tc>
      </w:tr>
      <w:tr>
        <w:trPr>
          <w:cantSplit/>
        </w:trPr>
        <w:tc>
          <w:tcPr>
            <w:tcW w:w="3102" w:type="dxa"/>
            <w:vAlign w:val="top"/>
          </w:tcPr>
          <w:p>
            <w:pPr>
              <w:pStyle w:val="TableText"/>
            </w:pPr>
            <w:r>
              <w:rPr>
                <w:sz w:val="18"/>
              </w:rPr>
              <w:t xml:space="preserve">Verification</w:t>
            </w:r>
          </w:p>
        </w:tc>
        <w:tc>
          <w:tcPr>
            <w:tcW w:w="6762" w:type="dxa"/>
            <w:vAlign w:val="top"/>
          </w:tcPr>
          <w:p>
            <w:pPr>
              <w:pStyle w:val="TableText"/>
            </w:pPr>
            <w:r>
              <w:rPr>
                <w:rFonts w:ascii="Consolas" w:hAnsi="Consolas" w:cs="Consolas"/>
                <w:shd w:fill="F0F5F3" w:val="clear"/>
                <w:sz w:val="18"/>
              </w:rPr>
              <w:t xml:space="preserve">Test</w:t>
            </w:r>
            <w:r>
              <w:rPr>
                <w:sz w:val="18"/>
              </w:rPr>
              <w:t xml:space="preserve"> — каталогийн fixture-тай UI/API integration test; </w:t>
            </w:r>
            <w:r>
              <w:rPr>
                <w:rFonts w:ascii="Consolas" w:hAnsi="Consolas" w:cs="Consolas"/>
                <w:shd w:fill="F0F5F3" w:val="clear"/>
                <w:sz w:val="18"/>
              </w:rPr>
              <w:t xml:space="preserve">Inspection</w:t>
            </w:r>
            <w:r>
              <w:rPr>
                <w:sz w:val="18"/>
              </w:rPr>
              <w:t xml:space="preserve"> — нэр, үнэ, зураг, тайлбарын харагдах байдлыг шалгах.</w:t>
            </w:r>
          </w:p>
        </w:tc>
      </w:tr>
      <w:tr>
        <w:trPr>
          <w:cantSplit/>
        </w:trPr>
        <w:tc>
          <w:tcPr>
            <w:tcW w:w="3102" w:type="dxa"/>
            <w:vAlign w:val="top"/>
            <w:shd w:fill="F6F9FA" w:val="clear"/>
          </w:tcPr>
          <w:p>
            <w:pPr>
              <w:pStyle w:val="TableText"/>
            </w:pPr>
            <w:r>
              <w:rPr>
                <w:sz w:val="18"/>
              </w:rPr>
              <w:t xml:space="preserve">Нотолгоо</w:t>
            </w:r>
          </w:p>
        </w:tc>
        <w:tc>
          <w:tcPr>
            <w:tcW w:w="6762" w:type="dxa"/>
            <w:vAlign w:val="top"/>
            <w:shd w:fill="F6F9FA" w:val="clear"/>
          </w:tcPr>
          <w:p>
            <w:pPr>
              <w:pStyle w:val="TableText"/>
            </w:pPr>
            <w:r>
              <w:rPr>
                <w:rFonts w:ascii="Consolas" w:hAnsi="Consolas" w:cs="Consolas"/>
                <w:shd w:fill="F0F5F3" w:val="clear"/>
                <w:sz w:val="18"/>
              </w:rPr>
              <w:t xml:space="preserve">TC-FR01</w:t>
            </w:r>
            <w:r>
              <w:rPr>
                <w:sz w:val="18"/>
              </w:rPr>
              <w:t xml:space="preserve"> procedure; гүйцэтгэлийн log, screenshot, commit хүлээгдэж байна.</w:t>
            </w:r>
          </w:p>
        </w:tc>
      </w:tr>
    </w:tbl>
    <w:p>
      <w:pPr>
        <w:pStyle w:val="Gap"/>
      </w:pPr>
    </w:p>
    <w:p>
      <w:pPr>
        <w:pStyle w:val="Heading3"/>
      </w:pPr>
      <w:r>
        <w:rPr/>
        <w:t xml:space="preserve">FR-04 — Сагсанд нэмэх</w:t>
      </w:r>
    </w:p>
    <w:p>
      <w:pPr>
        <w:pStyle w:val="Normal"/>
      </w:pPr>
      <w:r>
        <w:rPr/>
        <w:t xml:space="preserve"/>
      </w:r>
      <w:r>
        <w:rPr>
          <w:b/>
        </w:rPr>
        <w:t xml:space="preserve">Шаардлага:</w:t>
      </w:r>
      <w:r>
        <w:rPr/>
        <w:t xml:space="preserve"> Хоосон сагсанд сонгосон хоолыг нэг удаа нэмэхэд тухайн </w:t>
      </w:r>
      <w:r>
        <w:rPr>
          <w:rFonts w:ascii="Consolas" w:hAnsi="Consolas" w:cs="Consolas"/>
          <w:shd w:fill="F0F5F3" w:val="clear"/>
        </w:rPr>
        <w:t xml:space="preserve">food_id</w:t>
      </w:r>
      <w:r>
        <w:rPr/>
        <w:t xml:space="preserve">-тай нэг мөр </w:t>
      </w:r>
      <w:r>
        <w:rPr>
          <w:rFonts w:ascii="Consolas" w:hAnsi="Consolas" w:cs="Consolas"/>
          <w:shd w:fill="F0F5F3" w:val="clear"/>
        </w:rPr>
        <w:t xml:space="preserve">quantity=1</w:t>
      </w:r>
      <w:r>
        <w:rPr/>
        <w:t xml:space="preserve">-ээр үүснэ. </w:t>
      </w:r>
      <w:r>
        <w:rPr>
          <w:b/>
        </w:rPr>
        <w:t xml:space="preserve">Төрөл / эрэмбэ:</w:t>
      </w:r>
      <w:r>
        <w:rPr/>
        <w:t xml:space="preserve"> FR / MUST. </w:t>
      </w:r>
      <w:r>
        <w:rPr>
          <w:b/>
        </w:rPr>
        <w:t xml:space="preserve">Owner:</w:t>
      </w:r>
      <w:r>
        <w:rPr/>
        <w:t xml:space="preserve"> Frontend owner. </w:t>
      </w:r>
      <w:r>
        <w:rPr>
          <w:b/>
        </w:rPr>
        <w:t xml:space="preserve">Эх сурвалж:</w:t>
      </w:r>
      <w:r>
        <w:rPr/>
        <w:t xml:space="preserve"> Анугийн UI/API integration хэрэгцээ; </w:t>
      </w:r>
      <w:r>
        <w:rPr>
          <w:rFonts w:ascii="Consolas" w:hAnsi="Consolas" w:cs="Consolas"/>
          <w:shd w:fill="F0F5F3" w:val="clear"/>
        </w:rPr>
        <w:t xml:space="preserve">P-ANU-02</w:t>
      </w:r>
      <w:r>
        <w:rPr/>
        <w:t xml:space="preserve">-ын өгөгдлийн гэрээ тодорхой байх шаардлагатай холбоотой. Бодит persona interview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822"/>
        <w:gridCol w:w="6042"/>
      </w:tblGrid>
      <w:tr>
        <w:trPr>
          <w:cantSplit/>
          <w:tblHeader/>
        </w:trPr>
        <w:tc>
          <w:tcPr>
            <w:tcW w:w="3822" w:type="dxa"/>
            <w:vAlign w:val="top"/>
            <w:shd w:fill="E5EFEC" w:val="clear"/>
          </w:tcPr>
          <w:p>
            <w:pPr>
              <w:pStyle w:val="TableText"/>
            </w:pPr>
            <w:r>
              <w:rPr>
                <w:b/>
                <w:sz w:val="18"/>
              </w:rPr>
              <w:t xml:space="preserve">Шалгах хэсэг</w:t>
            </w:r>
          </w:p>
        </w:tc>
        <w:tc>
          <w:tcPr>
            <w:tcW w:w="6042" w:type="dxa"/>
            <w:vAlign w:val="top"/>
            <w:shd w:fill="E5EFEC" w:val="clear"/>
          </w:tcPr>
          <w:p>
            <w:pPr>
              <w:pStyle w:val="TableText"/>
            </w:pPr>
            <w:r>
              <w:rPr>
                <w:b/>
                <w:sz w:val="18"/>
              </w:rPr>
              <w:t xml:space="preserve">Тодорхойлолт</w:t>
            </w:r>
          </w:p>
        </w:tc>
      </w:tr>
      <w:tr>
        <w:trPr>
          <w:cantSplit/>
        </w:trPr>
        <w:tc>
          <w:tcPr>
            <w:tcW w:w="3822" w:type="dxa"/>
            <w:vAlign w:val="top"/>
          </w:tcPr>
          <w:p>
            <w:pPr>
              <w:pStyle w:val="TableText"/>
            </w:pPr>
            <w:r>
              <w:rPr>
                <w:sz w:val="18"/>
              </w:rPr>
              <w:t xml:space="preserve">Given</w:t>
            </w:r>
          </w:p>
        </w:tc>
        <w:tc>
          <w:tcPr>
            <w:tcW w:w="6042" w:type="dxa"/>
            <w:vAlign w:val="top"/>
          </w:tcPr>
          <w:p>
            <w:pPr>
              <w:pStyle w:val="TableText"/>
            </w:pPr>
            <w:r>
              <w:rPr>
                <w:sz w:val="18"/>
              </w:rPr>
              <w:t xml:space="preserve">Хоосон cart; </w:t>
            </w:r>
            <w:r>
              <w:rPr>
                <w:rFonts w:ascii="Consolas" w:hAnsi="Consolas" w:cs="Consolas"/>
                <w:shd w:fill="F0F5F3" w:val="clear"/>
                <w:sz w:val="18"/>
              </w:rPr>
              <w:t xml:space="preserve">food_id=7</w:t>
            </w:r>
            <w:r>
              <w:rPr>
                <w:sz w:val="18"/>
              </w:rPr>
              <w:t xml:space="preserve"> идэвхтэй хоол.</w:t>
            </w:r>
          </w:p>
        </w:tc>
      </w:tr>
      <w:tr>
        <w:trPr>
          <w:cantSplit/>
        </w:trPr>
        <w:tc>
          <w:tcPr>
            <w:tcW w:w="3822" w:type="dxa"/>
            <w:vAlign w:val="top"/>
            <w:shd w:fill="F6F9FA" w:val="clear"/>
          </w:tcPr>
          <w:p>
            <w:pPr>
              <w:pStyle w:val="TableText"/>
            </w:pPr>
            <w:r>
              <w:rPr>
                <w:sz w:val="18"/>
              </w:rPr>
              <w:t xml:space="preserve">When</w:t>
            </w:r>
          </w:p>
        </w:tc>
        <w:tc>
          <w:tcPr>
            <w:tcW w:w="6042" w:type="dxa"/>
            <w:vAlign w:val="top"/>
            <w:shd w:fill="F6F9FA" w:val="clear"/>
          </w:tcPr>
          <w:p>
            <w:pPr>
              <w:pStyle w:val="TableText"/>
            </w:pPr>
            <w:r>
              <w:rPr>
                <w:sz w:val="18"/>
              </w:rPr>
              <w:t xml:space="preserve">“Add to Cart” үйлдлийг нэг удаа хийнэ.</w:t>
            </w:r>
          </w:p>
        </w:tc>
      </w:tr>
      <w:tr>
        <w:trPr>
          <w:cantSplit/>
        </w:trPr>
        <w:tc>
          <w:tcPr>
            <w:tcW w:w="3822" w:type="dxa"/>
            <w:vAlign w:val="top"/>
          </w:tcPr>
          <w:p>
            <w:pPr>
              <w:pStyle w:val="TableText"/>
            </w:pPr>
            <w:r>
              <w:rPr>
                <w:sz w:val="18"/>
              </w:rPr>
              <w:t xml:space="preserve">Then</w:t>
            </w:r>
          </w:p>
        </w:tc>
        <w:tc>
          <w:tcPr>
            <w:tcW w:w="6042" w:type="dxa"/>
            <w:vAlign w:val="top"/>
          </w:tcPr>
          <w:p>
            <w:pPr>
              <w:pStyle w:val="TableText"/>
            </w:pPr>
            <w:r>
              <w:rPr>
                <w:sz w:val="18"/>
              </w:rPr>
              <w:t xml:space="preserve">Cart-д </w:t>
            </w:r>
            <w:r>
              <w:rPr>
                <w:rFonts w:ascii="Consolas" w:hAnsi="Consolas" w:cs="Consolas"/>
                <w:shd w:fill="F0F5F3" w:val="clear"/>
                <w:sz w:val="18"/>
              </w:rPr>
              <w:t xml:space="preserve">food_id=7</w:t>
            </w:r>
            <w:r>
              <w:rPr>
                <w:sz w:val="18"/>
              </w:rPr>
              <w:t xml:space="preserve">, </w:t>
            </w:r>
            <w:r>
              <w:rPr>
                <w:rFonts w:ascii="Consolas" w:hAnsi="Consolas" w:cs="Consolas"/>
                <w:shd w:fill="F0F5F3" w:val="clear"/>
                <w:sz w:val="18"/>
              </w:rPr>
              <w:t xml:space="preserve">quantity=1</w:t>
            </w:r>
            <w:r>
              <w:rPr>
                <w:sz w:val="18"/>
              </w:rPr>
              <w:t xml:space="preserve"> бүхий нэг мөр бий болж, хоосон сагсны badge 0-оос 1 болно.</w:t>
            </w:r>
          </w:p>
        </w:tc>
      </w:tr>
      <w:tr>
        <w:trPr>
          <w:cantSplit/>
        </w:trPr>
        <w:tc>
          <w:tcPr>
            <w:tcW w:w="3822" w:type="dxa"/>
            <w:vAlign w:val="top"/>
            <w:shd w:fill="F6F9FA" w:val="clear"/>
          </w:tcPr>
          <w:p>
            <w:pPr>
              <w:pStyle w:val="TableText"/>
            </w:pPr>
            <w:r>
              <w:rPr>
                <w:sz w:val="18"/>
              </w:rPr>
              <w:t xml:space="preserve">Pass / fail</w:t>
            </w:r>
          </w:p>
        </w:tc>
        <w:tc>
          <w:tcPr>
            <w:tcW w:w="6042" w:type="dxa"/>
            <w:vAlign w:val="top"/>
            <w:shd w:fill="F6F9FA" w:val="clear"/>
          </w:tcPr>
          <w:p>
            <w:pPr>
              <w:pStyle w:val="TableText"/>
            </w:pPr>
            <w:r>
              <w:rPr>
                <w:sz w:val="18"/>
              </w:rPr>
              <w:t xml:space="preserve">Зөв ID-тай яг нэг мөр, quantity=1; бусад тохиолдол fail.</w:t>
            </w:r>
          </w:p>
        </w:tc>
      </w:tr>
      <w:tr>
        <w:trPr>
          <w:cantSplit/>
        </w:trPr>
        <w:tc>
          <w:tcPr>
            <w:tcW w:w="3822" w:type="dxa"/>
            <w:vAlign w:val="top"/>
          </w:tcPr>
          <w:p>
            <w:pPr>
              <w:pStyle w:val="TableText"/>
            </w:pPr>
            <w:r>
              <w:rPr>
                <w:sz w:val="18"/>
              </w:rPr>
              <w:t xml:space="preserve">Verification</w:t>
            </w:r>
          </w:p>
        </w:tc>
        <w:tc>
          <w:tcPr>
            <w:tcW w:w="6042" w:type="dxa"/>
            <w:vAlign w:val="top"/>
          </w:tcPr>
          <w:p>
            <w:pPr>
              <w:pStyle w:val="TableText"/>
            </w:pPr>
            <w:r>
              <w:rPr>
                <w:rFonts w:ascii="Consolas" w:hAnsi="Consolas" w:cs="Consolas"/>
                <w:shd w:fill="F0F5F3" w:val="clear"/>
                <w:sz w:val="18"/>
              </w:rPr>
              <w:t xml:space="preserve">Test</w:t>
            </w:r>
            <w:r>
              <w:rPr>
                <w:sz w:val="18"/>
              </w:rPr>
              <w:t xml:space="preserve"> — UI үйлдэл болон cart response-ийг fixture-тэй тулгах.</w:t>
            </w:r>
          </w:p>
        </w:tc>
      </w:tr>
      <w:tr>
        <w:trPr>
          <w:cantSplit/>
        </w:trPr>
        <w:tc>
          <w:tcPr>
            <w:tcW w:w="3822" w:type="dxa"/>
            <w:vAlign w:val="top"/>
            <w:shd w:fill="F6F9FA" w:val="clear"/>
          </w:tcPr>
          <w:p>
            <w:pPr>
              <w:pStyle w:val="TableText"/>
            </w:pPr>
            <w:r>
              <w:rPr>
                <w:sz w:val="18"/>
              </w:rPr>
              <w:t xml:space="preserve">Нотолгоо</w:t>
            </w:r>
          </w:p>
        </w:tc>
        <w:tc>
          <w:tcPr>
            <w:tcW w:w="6042" w:type="dxa"/>
            <w:vAlign w:val="top"/>
            <w:shd w:fill="F6F9FA" w:val="clear"/>
          </w:tcPr>
          <w:p>
            <w:pPr>
              <w:pStyle w:val="TableText"/>
            </w:pPr>
            <w:r>
              <w:rPr>
                <w:rFonts w:ascii="Consolas" w:hAnsi="Consolas" w:cs="Consolas"/>
                <w:shd w:fill="F0F5F3" w:val="clear"/>
                <w:sz w:val="18"/>
              </w:rPr>
              <w:t xml:space="preserve">TC-FR04</w:t>
            </w:r>
            <w:r>
              <w:rPr>
                <w:sz w:val="18"/>
              </w:rPr>
              <w:t xml:space="preserve"> procedure; test execution хүлээгдэж байна.</w:t>
            </w:r>
          </w:p>
        </w:tc>
      </w:tr>
    </w:tbl>
    <w:p>
      <w:pPr>
        <w:pStyle w:val="Gap"/>
      </w:pPr>
    </w:p>
    <w:p>
      <w:pPr>
        <w:pStyle w:val="Normal"/>
      </w:pPr>
      <w:r>
        <w:rPr/>
        <w:t xml:space="preserve">Энэ жишээ нь хоосон сагсны нэг нэмэлтийг шалгана. Өмнө байсан хоолыг дахин нэмэх, quantity-ийн дээд хязгаар зэрэг хамаарах дүрмийг бүрэн SRS-д тусад нь шалгах ёстой.</w:t>
      </w:r>
    </w:p>
    <w:p>
      <w:pPr>
        <w:pStyle w:val="Heading3"/>
      </w:pPr>
      <w:r>
        <w:rPr/>
        <w:t xml:space="preserve">FR-11 — Нэг захиалга үүсгэх</w:t>
      </w:r>
    </w:p>
    <w:p>
      <w:pPr>
        <w:pStyle w:val="Normal"/>
      </w:pPr>
      <w:r>
        <w:rPr/>
        <w:t xml:space="preserve"/>
      </w:r>
      <w:r>
        <w:rPr>
          <w:b/>
        </w:rPr>
        <w:t xml:space="preserve">Шаардлага:</w:t>
      </w:r>
      <w:r>
        <w:rPr/>
        <w:t xml:space="preserve"> Зөв checkout өгөгдлөөр захиалга үүсгэхэд систем нэг </w:t>
      </w:r>
      <w:r>
        <w:rPr>
          <w:rFonts w:ascii="Consolas" w:hAnsi="Consolas" w:cs="Consolas"/>
          <w:shd w:fill="F0F5F3" w:val="clear"/>
        </w:rPr>
        <w:t xml:space="preserve">order_id</w:t>
      </w:r>
      <w:r>
        <w:rPr/>
        <w:t xml:space="preserve"> хадгалж буцаана; ижил хэрэглэгч ижил idempotency key, ижил өгөгдөлтэй хүсэлтийг давтахад шинэ захиалга үүсгэхгүй. </w:t>
      </w:r>
      <w:r>
        <w:rPr>
          <w:b/>
        </w:rPr>
        <w:t xml:space="preserve">Төрөл / эрэмбэ:</w:t>
      </w:r>
      <w:r>
        <w:rPr/>
        <w:t xml:space="preserve"> FR / MUST. </w:t>
      </w:r>
      <w:r>
        <w:rPr>
          <w:b/>
        </w:rPr>
        <w:t xml:space="preserve">Owner:</w:t>
      </w:r>
      <w:r>
        <w:rPr/>
        <w:t xml:space="preserve"> Backend owner. </w:t>
      </w:r>
      <w:r>
        <w:rPr>
          <w:b/>
        </w:rPr>
        <w:t xml:space="preserve">Эх сурвалж:</w:t>
      </w:r>
      <w:r>
        <w:rPr/>
        <w:t xml:space="preserve"> Checkout user story, давхар захиалгаас сэргийлэх загварын хэрэгцээ; бодит owner interview байхгүй.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102"/>
        <w:gridCol w:w="6762"/>
      </w:tblGrid>
      <w:tr>
        <w:trPr>
          <w:cantSplit/>
          <w:tblHeader/>
        </w:trPr>
        <w:tc>
          <w:tcPr>
            <w:tcW w:w="3102" w:type="dxa"/>
            <w:vAlign w:val="top"/>
            <w:shd w:fill="E5EFEC" w:val="clear"/>
          </w:tcPr>
          <w:p>
            <w:pPr>
              <w:pStyle w:val="TableText"/>
            </w:pPr>
            <w:r>
              <w:rPr>
                <w:b/>
                <w:sz w:val="18"/>
              </w:rPr>
              <w:t xml:space="preserve">Шалгах хэсэг</w:t>
            </w:r>
          </w:p>
        </w:tc>
        <w:tc>
          <w:tcPr>
            <w:tcW w:w="6762" w:type="dxa"/>
            <w:vAlign w:val="top"/>
            <w:shd w:fill="E5EFEC" w:val="clear"/>
          </w:tcPr>
          <w:p>
            <w:pPr>
              <w:pStyle w:val="TableText"/>
            </w:pPr>
            <w:r>
              <w:rPr>
                <w:b/>
                <w:sz w:val="18"/>
              </w:rPr>
              <w:t xml:space="preserve">Тодорхойлолт</w:t>
            </w:r>
          </w:p>
        </w:tc>
      </w:tr>
      <w:tr>
        <w:trPr>
          <w:cantSplit/>
        </w:trPr>
        <w:tc>
          <w:tcPr>
            <w:tcW w:w="3102" w:type="dxa"/>
            <w:vAlign w:val="top"/>
          </w:tcPr>
          <w:p>
            <w:pPr>
              <w:pStyle w:val="TableText"/>
            </w:pPr>
            <w:r>
              <w:rPr>
                <w:sz w:val="18"/>
              </w:rPr>
              <w:t xml:space="preserve">Given</w:t>
            </w:r>
          </w:p>
        </w:tc>
        <w:tc>
          <w:tcPr>
            <w:tcW w:w="6762" w:type="dxa"/>
            <w:vAlign w:val="top"/>
          </w:tcPr>
          <w:p>
            <w:pPr>
              <w:pStyle w:val="TableText"/>
            </w:pPr>
            <w:r>
              <w:rPr>
                <w:sz w:val="18"/>
              </w:rPr>
              <w:t xml:space="preserve">Зөв сагс, хаяг, төлбөрийн арга; нэг user, шинэ key; эхний order count=0.</w:t>
            </w:r>
          </w:p>
        </w:tc>
      </w:tr>
      <w:tr>
        <w:trPr>
          <w:cantSplit/>
        </w:trPr>
        <w:tc>
          <w:tcPr>
            <w:tcW w:w="3102" w:type="dxa"/>
            <w:vAlign w:val="top"/>
            <w:shd w:fill="F6F9FA" w:val="clear"/>
          </w:tcPr>
          <w:p>
            <w:pPr>
              <w:pStyle w:val="TableText"/>
            </w:pPr>
            <w:r>
              <w:rPr>
                <w:sz w:val="18"/>
              </w:rPr>
              <w:t xml:space="preserve">When</w:t>
            </w:r>
          </w:p>
        </w:tc>
        <w:tc>
          <w:tcPr>
            <w:tcW w:w="6762" w:type="dxa"/>
            <w:vAlign w:val="top"/>
            <w:shd w:fill="F6F9FA" w:val="clear"/>
          </w:tcPr>
          <w:p>
            <w:pPr>
              <w:pStyle w:val="TableText"/>
            </w:pPr>
            <w:r>
              <w:rPr>
                <w:sz w:val="18"/>
              </w:rPr>
              <w:t xml:space="preserve">HTTP гэрээний дагуу захиалга үүсгэх ижил хүсэлтийг дараалан хоёр удаа илгээнэ.</w:t>
            </w:r>
          </w:p>
        </w:tc>
      </w:tr>
      <w:tr>
        <w:trPr>
          <w:cantSplit/>
        </w:trPr>
        <w:tc>
          <w:tcPr>
            <w:tcW w:w="3102" w:type="dxa"/>
            <w:vAlign w:val="top"/>
          </w:tcPr>
          <w:p>
            <w:pPr>
              <w:pStyle w:val="TableText"/>
            </w:pPr>
            <w:r>
              <w:rPr>
                <w:sz w:val="18"/>
              </w:rPr>
              <w:t xml:space="preserve">Then</w:t>
            </w:r>
          </w:p>
        </w:tc>
        <w:tc>
          <w:tcPr>
            <w:tcW w:w="6762" w:type="dxa"/>
            <w:vAlign w:val="top"/>
          </w:tcPr>
          <w:p>
            <w:pPr>
              <w:pStyle w:val="TableText"/>
            </w:pPr>
            <w:r>
              <w:rPr>
                <w:sz w:val="18"/>
              </w:rPr>
              <w:t xml:space="preserve">Эхний амжилттай үүсгэлт HTTP 201 ба order ID өгнө; давтан хүсэлт ижил order ID өгч, хадгалсан order count=1 байна.</w:t>
            </w:r>
          </w:p>
        </w:tc>
      </w:tr>
      <w:tr>
        <w:trPr>
          <w:cantSplit/>
        </w:trPr>
        <w:tc>
          <w:tcPr>
            <w:tcW w:w="3102" w:type="dxa"/>
            <w:vAlign w:val="top"/>
            <w:shd w:fill="F6F9FA" w:val="clear"/>
          </w:tcPr>
          <w:p>
            <w:pPr>
              <w:pStyle w:val="TableText"/>
            </w:pPr>
            <w:r>
              <w:rPr>
                <w:sz w:val="18"/>
              </w:rPr>
              <w:t xml:space="preserve">Pass / fail</w:t>
            </w:r>
          </w:p>
        </w:tc>
        <w:tc>
          <w:tcPr>
            <w:tcW w:w="6762" w:type="dxa"/>
            <w:vAlign w:val="top"/>
            <w:shd w:fill="F6F9FA" w:val="clear"/>
          </w:tcPr>
          <w:p>
            <w:pPr>
              <w:pStyle w:val="TableText"/>
            </w:pPr>
            <w:r>
              <w:rPr>
                <w:sz w:val="18"/>
              </w:rPr>
              <w:t xml:space="preserve">Хоёр хариуны ID ижил, хадгалсан захиалга 1; ID эсвэл count зөрвөл fail. Давтан хариуны status code-ийг тухайн OpenAPI гэрээтэй тулгана.</w:t>
            </w:r>
          </w:p>
        </w:tc>
      </w:tr>
      <w:tr>
        <w:trPr>
          <w:cantSplit/>
        </w:trPr>
        <w:tc>
          <w:tcPr>
            <w:tcW w:w="3102" w:type="dxa"/>
            <w:vAlign w:val="top"/>
          </w:tcPr>
          <w:p>
            <w:pPr>
              <w:pStyle w:val="TableText"/>
            </w:pPr>
            <w:r>
              <w:rPr>
                <w:sz w:val="18"/>
              </w:rPr>
              <w:t xml:space="preserve">Verification</w:t>
            </w:r>
          </w:p>
        </w:tc>
        <w:tc>
          <w:tcPr>
            <w:tcW w:w="6762" w:type="dxa"/>
            <w:vAlign w:val="top"/>
          </w:tcPr>
          <w:p>
            <w:pPr>
              <w:pStyle w:val="TableText"/>
            </w:pPr>
            <w:r>
              <w:rPr>
                <w:rFonts w:ascii="Consolas" w:hAnsi="Consolas" w:cs="Consolas"/>
                <w:shd w:fill="F0F5F3" w:val="clear"/>
                <w:sz w:val="18"/>
              </w:rPr>
              <w:t xml:space="preserve">Test</w:t>
            </w:r>
            <w:r>
              <w:rPr>
                <w:sz w:val="18"/>
              </w:rPr>
              <w:t xml:space="preserve"> — request/response болон захиалгын хадгалалтыг хамтад нь шалгах integration test.</w:t>
            </w:r>
          </w:p>
        </w:tc>
      </w:tr>
      <w:tr>
        <w:trPr>
          <w:cantSplit/>
        </w:trPr>
        <w:tc>
          <w:tcPr>
            <w:tcW w:w="3102" w:type="dxa"/>
            <w:vAlign w:val="top"/>
            <w:shd w:fill="F6F9FA" w:val="clear"/>
          </w:tcPr>
          <w:p>
            <w:pPr>
              <w:pStyle w:val="TableText"/>
            </w:pPr>
            <w:r>
              <w:rPr>
                <w:sz w:val="18"/>
              </w:rPr>
              <w:t xml:space="preserve">Нотолгоо</w:t>
            </w:r>
          </w:p>
        </w:tc>
        <w:tc>
          <w:tcPr>
            <w:tcW w:w="6762" w:type="dxa"/>
            <w:vAlign w:val="top"/>
            <w:shd w:fill="F6F9FA" w:val="clear"/>
          </w:tcPr>
          <w:p>
            <w:pPr>
              <w:pStyle w:val="TableText"/>
            </w:pPr>
            <w:r>
              <w:rPr>
                <w:rFonts w:ascii="Consolas" w:hAnsi="Consolas" w:cs="Consolas"/>
                <w:shd w:fill="F0F5F3" w:val="clear"/>
                <w:sz w:val="18"/>
              </w:rPr>
              <w:t xml:space="preserve">TC-FR11</w:t>
            </w:r>
            <w:r>
              <w:rPr>
                <w:sz w:val="18"/>
              </w:rPr>
              <w:t xml:space="preserve"> procedure; бодит HTTP integration test гүйцэтгэсэн гэж тэмдэглээгүй.</w:t>
            </w:r>
          </w:p>
        </w:tc>
      </w:tr>
    </w:tbl>
    <w:p>
      <w:pPr>
        <w:pStyle w:val="Gap"/>
      </w:pPr>
    </w:p>
    <w:p>
      <w:pPr>
        <w:pStyle w:val="Normal"/>
      </w:pPr>
      <w:r>
        <w:rPr/>
        <w:t xml:space="preserve">Энэ procedure нь дараалсан давталтыг шалгана. Зэрэгцээ хүсэлт, key өөрчлөгдсөн payload, key-ийн хүчинтэй хугацаа, provider-ийн төлбөрийг давтан боловсруулах эрсдэлд тусдаа шалгалт хэрэгтэй. W06-ийн in-memory Python жишээний unit test нь үйлдвэрлэлийн түвшний distributed idempotency-ийн баталгаа болохгүй.</w:t>
      </w:r>
    </w:p>
    <w:p>
      <w:pPr>
        <w:pStyle w:val="Heading3"/>
      </w:pPr>
      <w:r>
        <w:rPr/>
        <w:t xml:space="preserve">NFR-01 — Menu-ийн харагдах үндсэн агуулгын хугацаа</w:t>
      </w:r>
    </w:p>
    <w:p>
      <w:pPr>
        <w:pStyle w:val="Normal"/>
      </w:pPr>
      <w:r>
        <w:rPr/>
        <w:t xml:space="preserve"/>
      </w:r>
      <w:r>
        <w:rPr>
          <w:b/>
        </w:rPr>
        <w:t xml:space="preserve">Шаардлага:</w:t>
      </w:r>
      <w:r>
        <w:rPr/>
        <w:t xml:space="preserve"> Баталсан mobile lab орчинд Menu хуудсыг 30 удаа хэмжихэд Largest Contentful Paint (</w:t>
      </w:r>
      <w:r>
        <w:rPr>
          <w:b/>
        </w:rPr>
        <w:t xml:space="preserve">LCP</w:t>
      </w:r>
      <w:r>
        <w:rPr/>
        <w:t xml:space="preserve">)-ийн p75 нь 2.5 секундээс ихгүй байна. </w:t>
      </w:r>
      <w:r>
        <w:rPr>
          <w:b/>
        </w:rPr>
        <w:t xml:space="preserve">Төрөл / эрэмбэ:</w:t>
      </w:r>
      <w:r>
        <w:rPr/>
        <w:t xml:space="preserve"> NFR / MUST. </w:t>
      </w:r>
      <w:r>
        <w:rPr>
          <w:b/>
        </w:rPr>
        <w:t xml:space="preserve">Owner:</w:t>
      </w:r>
      <w:r>
        <w:rPr/>
        <w:t xml:space="preserve"> QA. </w:t>
      </w:r>
      <w:r>
        <w:rPr>
          <w:b/>
        </w:rPr>
        <w:t xml:space="preserve">Эх сурвалж:</w:t>
      </w:r>
      <w:r>
        <w:rPr/>
        <w:t xml:space="preserve"> Хэрэглэгчийн хурдан эхлэх хэрэгцээ, </w:t>
      </w:r>
      <w:hyperlink r:id="rIdLink17">
        <w:r>
          <w:rPr>
            <w:color w:val="176D91"/>
            <w:u w:val="single"/>
          </w:rPr>
          <w:t xml:space="preserve">web.dev-ийн LCP тайлбар</w:t>
        </w:r>
      </w:hyperlink>
      <w:r>
        <w:rPr/>
        <w:t xml:space="preserve">. 30 lab run нь FoodFlow-ийн санал болгосон шалгах арга; эх сурвалжид бүх төсөл заавал 30 run хийхийг шаардсан гэсэн утга биш.</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039"/>
        <w:gridCol w:w="6825"/>
      </w:tblGrid>
      <w:tr>
        <w:trPr>
          <w:cantSplit/>
          <w:tblHeader/>
        </w:trPr>
        <w:tc>
          <w:tcPr>
            <w:tcW w:w="3039" w:type="dxa"/>
            <w:vAlign w:val="top"/>
            <w:shd w:fill="E5EFEC" w:val="clear"/>
          </w:tcPr>
          <w:p>
            <w:pPr>
              <w:pStyle w:val="TableText"/>
            </w:pPr>
            <w:r>
              <w:rPr>
                <w:b/>
                <w:sz w:val="18"/>
              </w:rPr>
              <w:t xml:space="preserve">Шалгах хэсэг</w:t>
            </w:r>
          </w:p>
        </w:tc>
        <w:tc>
          <w:tcPr>
            <w:tcW w:w="6825" w:type="dxa"/>
            <w:vAlign w:val="top"/>
            <w:shd w:fill="E5EFEC" w:val="clear"/>
          </w:tcPr>
          <w:p>
            <w:pPr>
              <w:pStyle w:val="TableText"/>
            </w:pPr>
            <w:r>
              <w:rPr>
                <w:b/>
                <w:sz w:val="18"/>
              </w:rPr>
              <w:t xml:space="preserve">Тодорхойлолт</w:t>
            </w:r>
          </w:p>
        </w:tc>
      </w:tr>
      <w:tr>
        <w:trPr>
          <w:cantSplit/>
        </w:trPr>
        <w:tc>
          <w:tcPr>
            <w:tcW w:w="3039" w:type="dxa"/>
            <w:vAlign w:val="top"/>
          </w:tcPr>
          <w:p>
            <w:pPr>
              <w:pStyle w:val="TableText"/>
            </w:pPr>
            <w:r>
              <w:rPr>
                <w:sz w:val="18"/>
              </w:rPr>
              <w:t xml:space="preserve">Given</w:t>
            </w:r>
          </w:p>
        </w:tc>
        <w:tc>
          <w:tcPr>
            <w:tcW w:w="6825" w:type="dxa"/>
            <w:vAlign w:val="top"/>
          </w:tcPr>
          <w:p>
            <w:pPr>
              <w:pStyle w:val="TableText"/>
            </w:pPr>
            <w:r>
              <w:rPr>
                <w:sz w:val="18"/>
              </w:rPr>
              <w:t xml:space="preserve">Deploy URL, commit, browser/version, viewport, CPU/network profile, fixture, cache-ийн нөхцөлийг test protocol-д тогтоосон байна.</w:t>
            </w:r>
          </w:p>
        </w:tc>
      </w:tr>
      <w:tr>
        <w:trPr>
          <w:cantSplit/>
        </w:trPr>
        <w:tc>
          <w:tcPr>
            <w:tcW w:w="3039" w:type="dxa"/>
            <w:vAlign w:val="top"/>
            <w:shd w:fill="F6F9FA" w:val="clear"/>
          </w:tcPr>
          <w:p>
            <w:pPr>
              <w:pStyle w:val="TableText"/>
            </w:pPr>
            <w:r>
              <w:rPr>
                <w:sz w:val="18"/>
              </w:rPr>
              <w:t xml:space="preserve">When</w:t>
            </w:r>
          </w:p>
        </w:tc>
        <w:tc>
          <w:tcPr>
            <w:tcW w:w="6825" w:type="dxa"/>
            <w:vAlign w:val="top"/>
            <w:shd w:fill="F6F9FA" w:val="clear"/>
          </w:tcPr>
          <w:p>
            <w:pPr>
              <w:pStyle w:val="TableText"/>
            </w:pPr>
            <w:r>
              <w:rPr>
                <w:sz w:val="18"/>
              </w:rPr>
              <w:t xml:space="preserve">Нэг ижил protocol-оор 30 тусдаа navigation-ийн LCP-г секундээр хэмжинэ.</w:t>
            </w:r>
          </w:p>
        </w:tc>
      </w:tr>
      <w:tr>
        <w:trPr>
          <w:cantSplit/>
        </w:trPr>
        <w:tc>
          <w:tcPr>
            <w:tcW w:w="3039" w:type="dxa"/>
            <w:vAlign w:val="top"/>
          </w:tcPr>
          <w:p>
            <w:pPr>
              <w:pStyle w:val="TableText"/>
            </w:pPr>
            <w:r>
              <w:rPr>
                <w:sz w:val="18"/>
              </w:rPr>
              <w:t xml:space="preserve">Then</w:t>
            </w:r>
          </w:p>
        </w:tc>
        <w:tc>
          <w:tcPr>
            <w:tcW w:w="6825" w:type="dxa"/>
            <w:vAlign w:val="top"/>
          </w:tcPr>
          <w:p>
            <w:pPr>
              <w:pStyle w:val="TableText"/>
            </w:pPr>
            <w:r>
              <w:rPr>
                <w:sz w:val="18"/>
              </w:rPr>
              <w:t xml:space="preserve">Өсөхөөр эрэмбэлсэн 30 утгын nearest-rank p75 буюу 23 дахь утга ≤2.5 секунд байна.</w:t>
            </w:r>
          </w:p>
        </w:tc>
      </w:tr>
      <w:tr>
        <w:trPr>
          <w:cantSplit/>
        </w:trPr>
        <w:tc>
          <w:tcPr>
            <w:tcW w:w="3039" w:type="dxa"/>
            <w:vAlign w:val="top"/>
            <w:shd w:fill="F6F9FA" w:val="clear"/>
          </w:tcPr>
          <w:p>
            <w:pPr>
              <w:pStyle w:val="TableText"/>
            </w:pPr>
            <w:r>
              <w:rPr>
                <w:sz w:val="18"/>
              </w:rPr>
              <w:t xml:space="preserve">Pass / fail</w:t>
            </w:r>
          </w:p>
        </w:tc>
        <w:tc>
          <w:tcPr>
            <w:tcW w:w="6825" w:type="dxa"/>
            <w:vAlign w:val="top"/>
            <w:shd w:fill="F6F9FA" w:val="clear"/>
          </w:tcPr>
          <w:p>
            <w:pPr>
              <w:pStyle w:val="TableText"/>
            </w:pPr>
            <w:r>
              <w:rPr>
                <w:sz w:val="18"/>
              </w:rPr>
              <w:t xml:space="preserve">30 хүчинтэй хэмжилт, орчны бүрэн бүртгэл, p75≤2.5 s; хэмжилт дутуу эсвэл орчин тогтоогоогүй бол гүйцэтгэл баталгаажаагүй.</w:t>
            </w:r>
          </w:p>
        </w:tc>
      </w:tr>
      <w:tr>
        <w:trPr>
          <w:cantSplit/>
        </w:trPr>
        <w:tc>
          <w:tcPr>
            <w:tcW w:w="3039" w:type="dxa"/>
            <w:vAlign w:val="top"/>
          </w:tcPr>
          <w:p>
            <w:pPr>
              <w:pStyle w:val="TableText"/>
            </w:pPr>
            <w:r>
              <w:rPr>
                <w:sz w:val="18"/>
              </w:rPr>
              <w:t xml:space="preserve">Verification</w:t>
            </w:r>
          </w:p>
        </w:tc>
        <w:tc>
          <w:tcPr>
            <w:tcW w:w="6825" w:type="dxa"/>
            <w:vAlign w:val="top"/>
          </w:tcPr>
          <w:p>
            <w:pPr>
              <w:pStyle w:val="TableText"/>
            </w:pPr>
            <w:r>
              <w:rPr>
                <w:rFonts w:ascii="Consolas" w:hAnsi="Consolas" w:cs="Consolas"/>
                <w:shd w:fill="F0F5F3" w:val="clear"/>
                <w:sz w:val="18"/>
              </w:rPr>
              <w:t xml:space="preserve">Analysis</w:t>
            </w:r>
            <w:r>
              <w:rPr>
                <w:sz w:val="18"/>
              </w:rPr>
              <w:t xml:space="preserve"> — өгөгдөл, percentile тооцоог хянах; </w:t>
            </w:r>
            <w:r>
              <w:rPr>
                <w:rFonts w:ascii="Consolas" w:hAnsi="Consolas" w:cs="Consolas"/>
                <w:shd w:fill="F0F5F3" w:val="clear"/>
                <w:sz w:val="18"/>
              </w:rPr>
              <w:t xml:space="preserve">Test</w:t>
            </w:r>
            <w:r>
              <w:rPr>
                <w:sz w:val="18"/>
              </w:rPr>
              <w:t xml:space="preserve"> — browser performance хэмжилт.</w:t>
            </w:r>
          </w:p>
        </w:tc>
      </w:tr>
      <w:tr>
        <w:trPr>
          <w:cantSplit/>
        </w:trPr>
        <w:tc>
          <w:tcPr>
            <w:tcW w:w="3039" w:type="dxa"/>
            <w:vAlign w:val="top"/>
            <w:shd w:fill="F6F9FA" w:val="clear"/>
          </w:tcPr>
          <w:p>
            <w:pPr>
              <w:pStyle w:val="TableText"/>
            </w:pPr>
            <w:r>
              <w:rPr>
                <w:sz w:val="18"/>
              </w:rPr>
              <w:t xml:space="preserve">Нотолгоо</w:t>
            </w:r>
          </w:p>
        </w:tc>
        <w:tc>
          <w:tcPr>
            <w:tcW w:w="6825" w:type="dxa"/>
            <w:vAlign w:val="top"/>
            <w:shd w:fill="F6F9FA" w:val="clear"/>
          </w:tcPr>
          <w:p>
            <w:pPr>
              <w:pStyle w:val="TableText"/>
            </w:pPr>
            <w:r>
              <w:rPr>
                <w:rFonts w:ascii="Consolas" w:hAnsi="Consolas" w:cs="Consolas"/>
                <w:shd w:fill="F0F5F3" w:val="clear"/>
                <w:sz w:val="18"/>
              </w:rPr>
              <w:t xml:space="preserve">TC-NFR01</w:t>
            </w:r>
            <w:r>
              <w:rPr>
                <w:sz w:val="18"/>
              </w:rPr>
              <w:t xml:space="preserve"> protocol ба raw results шаардлагатай; UI болон хэмжилтийн орчин бэлэн болсон гэж мэдүүлээгүй.</w:t>
            </w:r>
          </w:p>
        </w:tc>
      </w:tr>
    </w:tbl>
    <w:p>
      <w:pPr>
        <w:pStyle w:val="Gap"/>
      </w:pPr>
    </w:p>
    <w:p>
      <w:pPr>
        <w:pStyle w:val="Normal"/>
      </w:pPr>
      <w:r>
        <w:rPr/>
        <w:t xml:space="preserve">LCP нь хуудасны үндсэн агуулга харагдах хугацаа; HTTP API-ийн p95 latency-тэй өөр хэмжүүр. 30 lab run-ийн acceptance check нь бодит хэрэглэгчийн field data-г орлохгүй. Анхны тайлангийн Akamai судалгааг энэ босгоны шууд эх гэж ашиглаагүй; 2.5 секундын тайлбарын үндэслэлд дээрх primary эхийг авсан.</w:t>
      </w:r>
    </w:p>
    <w:p>
      <w:pPr>
        <w:pStyle w:val="Heading3"/>
      </w:pPr>
      <w:r>
        <w:rPr/>
        <w:t xml:space="preserve">NFR-03 — Захиалгын эзэмшлийн хамгаалалт</w:t>
      </w:r>
    </w:p>
    <w:p>
      <w:pPr>
        <w:pStyle w:val="Normal"/>
      </w:pPr>
      <w:r>
        <w:rPr/>
        <w:t xml:space="preserve"/>
      </w:r>
      <w:r>
        <w:rPr>
          <w:b/>
        </w:rPr>
        <w:t xml:space="preserve">Шаардлага:</w:t>
      </w:r>
      <w:r>
        <w:rPr/>
        <w:t xml:space="preserve"> Нэвтэрсэн хэрэглэгч зөвхөн өөрийн захиалгын мэдээллийг уншина; өөр хэрэглэгчийн захиалгын ID-тай хүсэлтэд захиалгын мэдээлэл задрахгүй. </w:t>
      </w:r>
      <w:r>
        <w:rPr>
          <w:b/>
        </w:rPr>
        <w:t xml:space="preserve">Төрөл / эрэмбэ:</w:t>
      </w:r>
      <w:r>
        <w:rPr/>
        <w:t xml:space="preserve"> NFR / MUST. </w:t>
      </w:r>
      <w:r>
        <w:rPr>
          <w:b/>
        </w:rPr>
        <w:t xml:space="preserve">Owner:</w:t>
      </w:r>
      <w:r>
        <w:rPr/>
        <w:t xml:space="preserve"> Backend owner. </w:t>
      </w:r>
      <w:r>
        <w:rPr>
          <w:b/>
        </w:rPr>
        <w:t xml:space="preserve">Эх сурвалж:</w:t>
      </w:r>
      <w:r>
        <w:rPr/>
        <w:t xml:space="preserve"> FoodFlow-ийн order ownership дүрэм, Анугийн </w:t>
      </w:r>
      <w:r>
        <w:rPr>
          <w:rFonts w:ascii="Consolas" w:hAnsi="Consolas" w:cs="Consolas"/>
          <w:shd w:fill="F0F5F3" w:val="clear"/>
        </w:rPr>
        <w:t xml:space="preserve">P-ANU-01</w:t>
      </w:r>
      <w:r>
        <w:rPr/>
        <w:t xml:space="preserve"> auth хэрэгцээ; Номин persona-ийн support хэрэгцээ нь баталгаажуулах таамаг хэвээр.</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084"/>
        <w:gridCol w:w="6780"/>
      </w:tblGrid>
      <w:tr>
        <w:trPr>
          <w:cantSplit/>
          <w:tblHeader/>
        </w:trPr>
        <w:tc>
          <w:tcPr>
            <w:tcW w:w="3084" w:type="dxa"/>
            <w:vAlign w:val="top"/>
            <w:shd w:fill="E5EFEC" w:val="clear"/>
          </w:tcPr>
          <w:p>
            <w:pPr>
              <w:pStyle w:val="TableText"/>
            </w:pPr>
            <w:r>
              <w:rPr>
                <w:b/>
                <w:sz w:val="18"/>
              </w:rPr>
              <w:t xml:space="preserve">Шалгах хэсэг</w:t>
            </w:r>
          </w:p>
        </w:tc>
        <w:tc>
          <w:tcPr>
            <w:tcW w:w="6780" w:type="dxa"/>
            <w:vAlign w:val="top"/>
            <w:shd w:fill="E5EFEC" w:val="clear"/>
          </w:tcPr>
          <w:p>
            <w:pPr>
              <w:pStyle w:val="TableText"/>
            </w:pPr>
            <w:r>
              <w:rPr>
                <w:b/>
                <w:sz w:val="18"/>
              </w:rPr>
              <w:t xml:space="preserve">Тодорхойлолт</w:t>
            </w:r>
          </w:p>
        </w:tc>
      </w:tr>
      <w:tr>
        <w:trPr>
          <w:cantSplit/>
        </w:trPr>
        <w:tc>
          <w:tcPr>
            <w:tcW w:w="3084" w:type="dxa"/>
            <w:vAlign w:val="top"/>
          </w:tcPr>
          <w:p>
            <w:pPr>
              <w:pStyle w:val="TableText"/>
            </w:pPr>
            <w:r>
              <w:rPr>
                <w:sz w:val="18"/>
              </w:rPr>
              <w:t xml:space="preserve">Given</w:t>
            </w:r>
          </w:p>
        </w:tc>
        <w:tc>
          <w:tcPr>
            <w:tcW w:w="6780" w:type="dxa"/>
            <w:vAlign w:val="top"/>
          </w:tcPr>
          <w:p>
            <w:pPr>
              <w:pStyle w:val="TableText"/>
            </w:pPr>
            <w:r>
              <w:rPr>
                <w:sz w:val="18"/>
              </w:rPr>
              <w:t xml:space="preserve">A, B хоёр хэрэглэгч; B-ийн эзэмшдэг 100 захиалга; A-ийн баталгаажсан session.</w:t>
            </w:r>
          </w:p>
        </w:tc>
      </w:tr>
      <w:tr>
        <w:trPr>
          <w:cantSplit/>
        </w:trPr>
        <w:tc>
          <w:tcPr>
            <w:tcW w:w="3084" w:type="dxa"/>
            <w:vAlign w:val="top"/>
            <w:shd w:fill="F6F9FA" w:val="clear"/>
          </w:tcPr>
          <w:p>
            <w:pPr>
              <w:pStyle w:val="TableText"/>
            </w:pPr>
            <w:r>
              <w:rPr>
                <w:sz w:val="18"/>
              </w:rPr>
              <w:t xml:space="preserve">When</w:t>
            </w:r>
          </w:p>
        </w:tc>
        <w:tc>
          <w:tcPr>
            <w:tcW w:w="6780" w:type="dxa"/>
            <w:vAlign w:val="top"/>
            <w:shd w:fill="F6F9FA" w:val="clear"/>
          </w:tcPr>
          <w:p>
            <w:pPr>
              <w:pStyle w:val="TableText"/>
            </w:pPr>
            <w:r>
              <w:rPr>
                <w:sz w:val="18"/>
              </w:rPr>
              <w:t xml:space="preserve">A нь B-ийн 100 order ID бүрээр унших хүсэлт илгээнэ. Мөн A өөрийн нэг order-ийг унших control хүсэлт илгээнэ.</w:t>
            </w:r>
          </w:p>
        </w:tc>
      </w:tr>
      <w:tr>
        <w:trPr>
          <w:cantSplit/>
        </w:trPr>
        <w:tc>
          <w:tcPr>
            <w:tcW w:w="3084" w:type="dxa"/>
            <w:vAlign w:val="top"/>
          </w:tcPr>
          <w:p>
            <w:pPr>
              <w:pStyle w:val="TableText"/>
            </w:pPr>
            <w:r>
              <w:rPr>
                <w:sz w:val="18"/>
              </w:rPr>
              <w:t xml:space="preserve">Then</w:t>
            </w:r>
          </w:p>
        </w:tc>
        <w:tc>
          <w:tcPr>
            <w:tcW w:w="6780" w:type="dxa"/>
            <w:vAlign w:val="top"/>
          </w:tcPr>
          <w:p>
            <w:pPr>
              <w:pStyle w:val="TableText"/>
            </w:pPr>
            <w:r>
              <w:rPr>
                <w:sz w:val="18"/>
              </w:rPr>
              <w:t xml:space="preserve">B-ийн захиалгын мэдээлэл нэг ч удаа буцахгүй; control хүсэлт A-ийн зөв өгөгдлийг буцаана. Эрхгүй response нь API гэрээнд заасан хэлбэртэй байна.</w:t>
            </w:r>
          </w:p>
        </w:tc>
      </w:tr>
      <w:tr>
        <w:trPr>
          <w:cantSplit/>
        </w:trPr>
        <w:tc>
          <w:tcPr>
            <w:tcW w:w="3084" w:type="dxa"/>
            <w:vAlign w:val="top"/>
            <w:shd w:fill="F6F9FA" w:val="clear"/>
          </w:tcPr>
          <w:p>
            <w:pPr>
              <w:pStyle w:val="TableText"/>
            </w:pPr>
            <w:r>
              <w:rPr>
                <w:sz w:val="18"/>
              </w:rPr>
              <w:t xml:space="preserve">Pass / fail</w:t>
            </w:r>
          </w:p>
        </w:tc>
        <w:tc>
          <w:tcPr>
            <w:tcW w:w="6780" w:type="dxa"/>
            <w:vAlign w:val="top"/>
            <w:shd w:fill="F6F9FA" w:val="clear"/>
          </w:tcPr>
          <w:p>
            <w:pPr>
              <w:pStyle w:val="TableText"/>
            </w:pPr>
            <w:r>
              <w:rPr>
                <w:sz w:val="18"/>
              </w:rPr>
              <w:t xml:space="preserve">Эрхгүй 100 хүсэлтээс задрал 0, control хүсэлт амжилттай; бусдын өгөгдөл буцвал fail.</w:t>
            </w:r>
          </w:p>
        </w:tc>
      </w:tr>
      <w:tr>
        <w:trPr>
          <w:cantSplit/>
        </w:trPr>
        <w:tc>
          <w:tcPr>
            <w:tcW w:w="3084" w:type="dxa"/>
            <w:vAlign w:val="top"/>
          </w:tcPr>
          <w:p>
            <w:pPr>
              <w:pStyle w:val="TableText"/>
            </w:pPr>
            <w:r>
              <w:rPr>
                <w:sz w:val="18"/>
              </w:rPr>
              <w:t xml:space="preserve">Verification</w:t>
            </w:r>
          </w:p>
        </w:tc>
        <w:tc>
          <w:tcPr>
            <w:tcW w:w="6780" w:type="dxa"/>
            <w:vAlign w:val="top"/>
          </w:tcPr>
          <w:p>
            <w:pPr>
              <w:pStyle w:val="TableText"/>
            </w:pPr>
            <w:r>
              <w:rPr>
                <w:rFonts w:ascii="Consolas" w:hAnsi="Consolas" w:cs="Consolas"/>
                <w:shd w:fill="F0F5F3" w:val="clear"/>
                <w:sz w:val="18"/>
              </w:rPr>
              <w:t xml:space="preserve">Test</w:t>
            </w:r>
            <w:r>
              <w:rPr>
                <w:sz w:val="18"/>
              </w:rPr>
              <w:t xml:space="preserve"> — authorization integration/security test; </w:t>
            </w:r>
            <w:r>
              <w:rPr>
                <w:rFonts w:ascii="Consolas" w:hAnsi="Consolas" w:cs="Consolas"/>
                <w:shd w:fill="F0F5F3" w:val="clear"/>
                <w:sz w:val="18"/>
              </w:rPr>
              <w:t xml:space="preserve">Inspection</w:t>
            </w:r>
            <w:r>
              <w:rPr>
                <w:sz w:val="18"/>
              </w:rPr>
              <w:t xml:space="preserve"> — response-д захиалгын мэдрэмтгий талбар ороогүйг тулгах.</w:t>
            </w:r>
          </w:p>
        </w:tc>
      </w:tr>
      <w:tr>
        <w:trPr>
          <w:cantSplit/>
        </w:trPr>
        <w:tc>
          <w:tcPr>
            <w:tcW w:w="3084" w:type="dxa"/>
            <w:vAlign w:val="top"/>
            <w:shd w:fill="F6F9FA" w:val="clear"/>
          </w:tcPr>
          <w:p>
            <w:pPr>
              <w:pStyle w:val="TableText"/>
            </w:pPr>
            <w:r>
              <w:rPr>
                <w:sz w:val="18"/>
              </w:rPr>
              <w:t xml:space="preserve">Нотолгоо</w:t>
            </w:r>
          </w:p>
        </w:tc>
        <w:tc>
          <w:tcPr>
            <w:tcW w:w="6780" w:type="dxa"/>
            <w:vAlign w:val="top"/>
            <w:shd w:fill="F6F9FA" w:val="clear"/>
          </w:tcPr>
          <w:p>
            <w:pPr>
              <w:pStyle w:val="TableText"/>
            </w:pPr>
            <w:r>
              <w:rPr>
                <w:rFonts w:ascii="Consolas" w:hAnsi="Consolas" w:cs="Consolas"/>
                <w:shd w:fill="F0F5F3" w:val="clear"/>
                <w:sz w:val="18"/>
              </w:rPr>
              <w:t xml:space="preserve">TC-NFR03</w:t>
            </w:r>
            <w:r>
              <w:rPr>
                <w:sz w:val="18"/>
              </w:rPr>
              <w:t xml:space="preserve"> procedure; бодит HTTP auth/security execution хүлээгдэж байна.</w:t>
            </w:r>
          </w:p>
        </w:tc>
      </w:tr>
    </w:tbl>
    <w:p>
      <w:pPr>
        <w:pStyle w:val="Gap"/>
      </w:pPr>
    </w:p>
    <w:p>
      <w:pPr>
        <w:pStyle w:val="Normal"/>
      </w:pPr>
      <w:r>
        <w:rPr/>
        <w:t xml:space="preserve">100 хүсэлт нь энэ тестийн түүврийн хэмжээ; системд аюулгүй байдлын бүх алдаа байхгүй гэсэн математик баталгаа биш. Python модульд </w:t>
      </w:r>
      <w:r>
        <w:rPr>
          <w:rFonts w:ascii="Consolas" w:hAnsi="Consolas" w:cs="Consolas"/>
          <w:shd w:fill="F0F5F3" w:val="clear"/>
        </w:rPr>
        <w:t xml:space="preserve">user_id</w:t>
      </w:r>
      <w:r>
        <w:rPr/>
        <w:t xml:space="preserve"> тулгасан нь token шалгах бодит authentication-ийг дангаараа хэрэгжүүлэхгүй.</w:t>
      </w:r>
    </w:p>
    <w:p>
      <w:pPr>
        <w:pStyle w:val="Heading2"/>
      </w:pPr>
      <w:r>
        <w:rPr/>
        <w:t xml:space="preserve">4. Чанарын найман шалгах өнцөг</w:t>
      </w:r>
    </w:p>
    <w:p>
      <w:pPr>
        <w:pStyle w:val="Normal"/>
      </w:pPr>
      <w:r>
        <w:rPr/>
        <w:t xml:space="preserve">Анхны тайлангийн Correct, Unambiguous, Complete, Consistent, Ranked, Verifiable, Modifiable, Traceable гэсэн жагсаалтыг энэ сургалтын </w:t>
      </w:r>
      <w:r>
        <w:rPr>
          <w:b/>
        </w:rPr>
        <w:t xml:space="preserve">SRS чанарын шалгах хуудас</w:t>
      </w:r>
      <w:r>
        <w:rPr/>
        <w:t xml:space="preserve"> болгон хэрэглэв. Үүнийг ISO/IEC/IEEE 29148-ийн шаардлага бүрийн яг найман шинжийн үгчилсэн жагсаалт гэж нэрлээгүй: баримтын чанар, нэг шаардлагын чанар, процессын заалтыг хооронд нь ялгах шаардлагатай. Нийцлийн албан дүгнэлт гаргаагүй.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06"/>
        <w:gridCol w:w="3423"/>
        <w:gridCol w:w="3935"/>
      </w:tblGrid>
      <w:tr>
        <w:trPr>
          <w:cantSplit/>
          <w:tblHeader/>
        </w:trPr>
        <w:tc>
          <w:tcPr>
            <w:tcW w:w="2506" w:type="dxa"/>
            <w:vAlign w:val="top"/>
            <w:shd w:fill="E5EFEC" w:val="clear"/>
          </w:tcPr>
          <w:p>
            <w:pPr>
              <w:pStyle w:val="TableText"/>
            </w:pPr>
            <w:r>
              <w:rPr>
                <w:b/>
                <w:sz w:val="18"/>
              </w:rPr>
              <w:t xml:space="preserve">Шалгах өнцөг</w:t>
            </w:r>
          </w:p>
        </w:tc>
        <w:tc>
          <w:tcPr>
            <w:tcW w:w="3423" w:type="dxa"/>
            <w:vAlign w:val="top"/>
            <w:shd w:fill="E5EFEC" w:val="clear"/>
          </w:tcPr>
          <w:p>
            <w:pPr>
              <w:pStyle w:val="TableText"/>
            </w:pPr>
            <w:r>
              <w:rPr>
                <w:b/>
                <w:sz w:val="18"/>
              </w:rPr>
              <w:t xml:space="preserve">FoodFlow-д тавих асуулт</w:t>
            </w:r>
          </w:p>
        </w:tc>
        <w:tc>
          <w:tcPr>
            <w:tcW w:w="3935" w:type="dxa"/>
            <w:vAlign w:val="top"/>
            <w:shd w:fill="E5EFEC" w:val="clear"/>
          </w:tcPr>
          <w:p>
            <w:pPr>
              <w:pStyle w:val="TableText"/>
            </w:pPr>
            <w:r>
              <w:rPr>
                <w:b/>
                <w:sz w:val="18"/>
              </w:rPr>
              <w:t xml:space="preserve">Энэ шинэчлэлд хийсэн засвар</w:t>
            </w:r>
          </w:p>
        </w:tc>
      </w:tr>
      <w:tr>
        <w:trPr>
          <w:cantSplit/>
        </w:trPr>
        <w:tc>
          <w:tcPr>
            <w:tcW w:w="2506" w:type="dxa"/>
            <w:vAlign w:val="top"/>
          </w:tcPr>
          <w:p>
            <w:pPr>
              <w:pStyle w:val="TableText"/>
            </w:pPr>
            <w:r>
              <w:rPr>
                <w:sz w:val="18"/>
              </w:rPr>
              <w:t xml:space="preserve">Correct — хэрэгцээнд нийцсэн</w:t>
            </w:r>
          </w:p>
        </w:tc>
        <w:tc>
          <w:tcPr>
            <w:tcW w:w="3423" w:type="dxa"/>
            <w:vAlign w:val="top"/>
          </w:tcPr>
          <w:p>
            <w:pPr>
              <w:pStyle w:val="TableText"/>
            </w:pPr>
            <w:r>
              <w:rPr>
                <w:sz w:val="18"/>
              </w:rPr>
              <w:t xml:space="preserve">Энэ нь хэрэглэгчийн ямар хэрэгцээг шийдэж байна вэ?</w:t>
            </w:r>
          </w:p>
        </w:tc>
        <w:tc>
          <w:tcPr>
            <w:tcW w:w="3935" w:type="dxa"/>
            <w:vAlign w:val="top"/>
          </w:tcPr>
          <w:p>
            <w:pPr>
              <w:pStyle w:val="TableText"/>
            </w:pPr>
            <w:r>
              <w:rPr>
                <w:sz w:val="18"/>
              </w:rPr>
              <w:t xml:space="preserve">Эх сурвалж болон persona-ийн таамгийг ил тод тэмдэглэсэн.</w:t>
            </w:r>
          </w:p>
        </w:tc>
      </w:tr>
      <w:tr>
        <w:trPr>
          <w:cantSplit/>
        </w:trPr>
        <w:tc>
          <w:tcPr>
            <w:tcW w:w="2506" w:type="dxa"/>
            <w:vAlign w:val="top"/>
            <w:shd w:fill="F6F9FA" w:val="clear"/>
          </w:tcPr>
          <w:p>
            <w:pPr>
              <w:pStyle w:val="TableText"/>
            </w:pPr>
            <w:r>
              <w:rPr>
                <w:sz w:val="18"/>
              </w:rPr>
              <w:t xml:space="preserve">Unambiguous — хоёрдмол утгагүй</w:t>
            </w:r>
          </w:p>
        </w:tc>
        <w:tc>
          <w:tcPr>
            <w:tcW w:w="3423" w:type="dxa"/>
            <w:vAlign w:val="top"/>
            <w:shd w:fill="F6F9FA" w:val="clear"/>
          </w:tcPr>
          <w:p>
            <w:pPr>
              <w:pStyle w:val="TableText"/>
            </w:pPr>
            <w:r>
              <w:rPr>
                <w:sz w:val="18"/>
              </w:rPr>
              <w:t xml:space="preserve">“Хурдан”, “ердийн”, “автоматаар” зэрэг тайлбаргүй үг бий юу?</w:t>
            </w:r>
          </w:p>
        </w:tc>
        <w:tc>
          <w:tcPr>
            <w:tcW w:w="3935" w:type="dxa"/>
            <w:vAlign w:val="top"/>
            <w:shd w:fill="F6F9FA" w:val="clear"/>
          </w:tcPr>
          <w:p>
            <w:pPr>
              <w:pStyle w:val="TableText"/>
            </w:pPr>
            <w:r>
              <w:rPr>
                <w:sz w:val="18"/>
              </w:rPr>
              <w:t xml:space="preserve">LCP босго, нэг order, эзэмшлийн дүрмийг тодорхойлсон.</w:t>
            </w:r>
          </w:p>
        </w:tc>
      </w:tr>
      <w:tr>
        <w:trPr>
          <w:cantSplit/>
        </w:trPr>
        <w:tc>
          <w:tcPr>
            <w:tcW w:w="2506" w:type="dxa"/>
            <w:vAlign w:val="top"/>
          </w:tcPr>
          <w:p>
            <w:pPr>
              <w:pStyle w:val="TableText"/>
            </w:pPr>
            <w:r>
              <w:rPr>
                <w:sz w:val="18"/>
              </w:rPr>
              <w:t xml:space="preserve">Complete — бүрэн</w:t>
            </w:r>
          </w:p>
        </w:tc>
        <w:tc>
          <w:tcPr>
            <w:tcW w:w="3423" w:type="dxa"/>
            <w:vAlign w:val="top"/>
          </w:tcPr>
          <w:p>
            <w:pPr>
              <w:pStyle w:val="TableText"/>
            </w:pPr>
            <w:r>
              <w:rPr>
                <w:sz w:val="18"/>
              </w:rPr>
              <w:t xml:space="preserve">Оролт, үйлдэл, үр дүн, boundary, алдааг тодорхойлсон уу?</w:t>
            </w:r>
          </w:p>
        </w:tc>
        <w:tc>
          <w:tcPr>
            <w:tcW w:w="3935" w:type="dxa"/>
            <w:vAlign w:val="top"/>
          </w:tcPr>
          <w:p>
            <w:pPr>
              <w:pStyle w:val="TableText"/>
            </w:pPr>
            <w:r>
              <w:rPr>
                <w:sz w:val="18"/>
              </w:rPr>
              <w:t xml:space="preserve">Given/When/Then ба хязгаар нэмсэн; бүх edge case хаагдсан гэж мэдүүлээгүй.</w:t>
            </w:r>
          </w:p>
        </w:tc>
      </w:tr>
      <w:tr>
        <w:trPr>
          <w:cantSplit/>
        </w:trPr>
        <w:tc>
          <w:tcPr>
            <w:tcW w:w="2506" w:type="dxa"/>
            <w:vAlign w:val="top"/>
            <w:shd w:fill="F6F9FA" w:val="clear"/>
          </w:tcPr>
          <w:p>
            <w:pPr>
              <w:pStyle w:val="TableText"/>
            </w:pPr>
            <w:r>
              <w:rPr>
                <w:sz w:val="18"/>
              </w:rPr>
              <w:t xml:space="preserve">Consistent — зөрчилгүй</w:t>
            </w:r>
          </w:p>
        </w:tc>
        <w:tc>
          <w:tcPr>
            <w:tcW w:w="3423" w:type="dxa"/>
            <w:vAlign w:val="top"/>
            <w:shd w:fill="F6F9FA" w:val="clear"/>
          </w:tcPr>
          <w:p>
            <w:pPr>
              <w:pStyle w:val="TableText"/>
            </w:pPr>
            <w:r>
              <w:rPr>
                <w:sz w:val="18"/>
              </w:rPr>
              <w:t xml:space="preserve">Нэг ID өөр баримтад өөр утгатай болсон уу?</w:t>
            </w:r>
          </w:p>
        </w:tc>
        <w:tc>
          <w:tcPr>
            <w:tcW w:w="3935" w:type="dxa"/>
            <w:vAlign w:val="top"/>
            <w:shd w:fill="F6F9FA" w:val="clear"/>
          </w:tcPr>
          <w:p>
            <w:pPr>
              <w:pStyle w:val="TableText"/>
            </w:pPr>
            <w:r>
              <w:rPr>
                <w:sz w:val="18"/>
              </w:rPr>
              <w:t xml:space="preserve">W02-ийн ID-г шинэ W03 DOCX-тэй тулгаж, одоогийн SRS рүү холбосон.</w:t>
            </w:r>
          </w:p>
        </w:tc>
      </w:tr>
      <w:tr>
        <w:trPr>
          <w:cantSplit/>
        </w:trPr>
        <w:tc>
          <w:tcPr>
            <w:tcW w:w="2506" w:type="dxa"/>
            <w:vAlign w:val="top"/>
          </w:tcPr>
          <w:p>
            <w:pPr>
              <w:pStyle w:val="TableText"/>
            </w:pPr>
            <w:r>
              <w:rPr>
                <w:sz w:val="18"/>
              </w:rPr>
              <w:t xml:space="preserve">Ranked — ач холбогдол нь тодорхой</w:t>
            </w:r>
          </w:p>
        </w:tc>
        <w:tc>
          <w:tcPr>
            <w:tcW w:w="3423" w:type="dxa"/>
            <w:vAlign w:val="top"/>
          </w:tcPr>
          <w:p>
            <w:pPr>
              <w:pStyle w:val="TableText"/>
            </w:pPr>
            <w:r>
              <w:rPr>
                <w:sz w:val="18"/>
              </w:rPr>
              <w:t xml:space="preserve">Зайлшгүй болон хойшлуулах зүйл ялгаатай юу?</w:t>
            </w:r>
          </w:p>
        </w:tc>
        <w:tc>
          <w:tcPr>
            <w:tcW w:w="3935" w:type="dxa"/>
            <w:vAlign w:val="top"/>
          </w:tcPr>
          <w:p>
            <w:pPr>
              <w:pStyle w:val="TableText"/>
            </w:pPr>
            <w:r>
              <w:rPr>
                <w:sz w:val="18"/>
              </w:rPr>
              <w:t xml:space="preserve">Таван жишээнд MUST; scope-д хассан, хойшлуулсныг тусад нь бичсэн.</w:t>
            </w:r>
          </w:p>
        </w:tc>
      </w:tr>
      <w:tr>
        <w:trPr>
          <w:cantSplit/>
        </w:trPr>
        <w:tc>
          <w:tcPr>
            <w:tcW w:w="2506" w:type="dxa"/>
            <w:vAlign w:val="top"/>
            <w:shd w:fill="F6F9FA" w:val="clear"/>
          </w:tcPr>
          <w:p>
            <w:pPr>
              <w:pStyle w:val="TableText"/>
            </w:pPr>
            <w:r>
              <w:rPr>
                <w:sz w:val="18"/>
              </w:rPr>
              <w:t xml:space="preserve">Verifiable — шалгаж болох</w:t>
            </w:r>
          </w:p>
        </w:tc>
        <w:tc>
          <w:tcPr>
            <w:tcW w:w="3423" w:type="dxa"/>
            <w:vAlign w:val="top"/>
            <w:shd w:fill="F6F9FA" w:val="clear"/>
          </w:tcPr>
          <w:p>
            <w:pPr>
              <w:pStyle w:val="TableText"/>
            </w:pPr>
            <w:r>
              <w:rPr>
                <w:sz w:val="18"/>
              </w:rPr>
              <w:t xml:space="preserve">Pass/fail-ийг ямар ажиглалтаар шийдэх вэ?</w:t>
            </w:r>
          </w:p>
        </w:tc>
        <w:tc>
          <w:tcPr>
            <w:tcW w:w="3935" w:type="dxa"/>
            <w:vAlign w:val="top"/>
            <w:shd w:fill="F6F9FA" w:val="clear"/>
          </w:tcPr>
          <w:p>
            <w:pPr>
              <w:pStyle w:val="TableText"/>
            </w:pPr>
            <w:r>
              <w:rPr>
                <w:sz w:val="18"/>
              </w:rPr>
              <w:t xml:space="preserve">Fixture, тоон босго, count, ID, control хүсэлт нэмсэн.</w:t>
            </w:r>
          </w:p>
        </w:tc>
      </w:tr>
      <w:tr>
        <w:trPr>
          <w:cantSplit/>
        </w:trPr>
        <w:tc>
          <w:tcPr>
            <w:tcW w:w="2506" w:type="dxa"/>
            <w:vAlign w:val="top"/>
          </w:tcPr>
          <w:p>
            <w:pPr>
              <w:pStyle w:val="TableText"/>
            </w:pPr>
            <w:r>
              <w:rPr>
                <w:sz w:val="18"/>
              </w:rPr>
              <w:t xml:space="preserve">Modifiable — өөрчилж болох</w:t>
            </w:r>
          </w:p>
        </w:tc>
        <w:tc>
          <w:tcPr>
            <w:tcW w:w="3423" w:type="dxa"/>
            <w:vAlign w:val="top"/>
          </w:tcPr>
          <w:p>
            <w:pPr>
              <w:pStyle w:val="TableText"/>
            </w:pPr>
            <w:r>
              <w:rPr>
                <w:sz w:val="18"/>
              </w:rPr>
              <w:t xml:space="preserve">Нэг өөрчлөлт хийхэд олон хуулбарыг гараар засах уу?</w:t>
            </w:r>
          </w:p>
        </w:tc>
        <w:tc>
          <w:tcPr>
            <w:tcW w:w="3935" w:type="dxa"/>
            <w:vAlign w:val="top"/>
          </w:tcPr>
          <w:p>
            <w:pPr>
              <w:pStyle w:val="TableText"/>
            </w:pPr>
            <w:r>
              <w:rPr>
                <w:sz w:val="18"/>
              </w:rPr>
              <w:t xml:space="preserve">Одоогийн үндсэн эхийг SRS/traceability-д төвлөрүүлж, семинарын жишээг түүхэн тайлбар болгосон.</w:t>
            </w:r>
          </w:p>
        </w:tc>
      </w:tr>
      <w:tr>
        <w:trPr>
          <w:cantSplit/>
        </w:trPr>
        <w:tc>
          <w:tcPr>
            <w:tcW w:w="2506" w:type="dxa"/>
            <w:vAlign w:val="top"/>
            <w:shd w:fill="F6F9FA" w:val="clear"/>
          </w:tcPr>
          <w:p>
            <w:pPr>
              <w:pStyle w:val="TableText"/>
            </w:pPr>
            <w:r>
              <w:rPr>
                <w:sz w:val="18"/>
              </w:rPr>
              <w:t xml:space="preserve">Traceable — мөрдөж болох</w:t>
            </w:r>
          </w:p>
        </w:tc>
        <w:tc>
          <w:tcPr>
            <w:tcW w:w="3423" w:type="dxa"/>
            <w:vAlign w:val="top"/>
            <w:shd w:fill="F6F9FA" w:val="clear"/>
          </w:tcPr>
          <w:p>
            <w:pPr>
              <w:pStyle w:val="TableText"/>
            </w:pPr>
            <w:r>
              <w:rPr>
                <w:sz w:val="18"/>
              </w:rPr>
              <w:t xml:space="preserve">Эх сурвалжаас шаардлага, шалгалт руу очих уу?</w:t>
            </w:r>
          </w:p>
        </w:tc>
        <w:tc>
          <w:tcPr>
            <w:tcW w:w="3935" w:type="dxa"/>
            <w:vAlign w:val="top"/>
            <w:shd w:fill="F6F9FA" w:val="clear"/>
          </w:tcPr>
          <w:p>
            <w:pPr>
              <w:pStyle w:val="TableText"/>
            </w:pPr>
            <w:r>
              <w:rPr>
                <w:sz w:val="18"/>
              </w:rPr>
              <w:t xml:space="preserve">Дараах найман багана, persona ID, procedure ID-аар холбоос үүсгэсэн.</w:t>
            </w:r>
          </w:p>
        </w:tc>
      </w:tr>
    </w:tbl>
    <w:p>
      <w:pPr>
        <w:pStyle w:val="Gap"/>
      </w:pPr>
    </w:p>
    <w:p>
      <w:pPr>
        <w:pStyle w:val="Heading2"/>
      </w:pPr>
      <w:r>
        <w:rPr/>
        <w:t xml:space="preserve">5. Найман баганатай Traceability Matrix — US-2.3</w:t>
      </w:r>
    </w:p>
    <w:p>
      <w:pPr>
        <w:pStyle w:val="Normal"/>
      </w:pPr>
      <w:r>
        <w:rPr/>
        <w:t xml:space="preserve">Энэ хүснэгт нь W02-ийн таван жишээний мөрдөх холбоо. Бүх мөрд найман баганыг бөглөсөн; шаардлага бүрийн одоогийн утга болон бүх шаардлагын бүрэн хүснэгтийг </w:t>
      </w:r>
      <w:hyperlink r:id="rIdLink18">
        <w:r>
          <w:rPr>
            <w:color w:val="176D91"/>
            <w:u w:val="single"/>
          </w:rPr>
          <w:t xml:space="preserve">нэгдсэн traceability</w:t>
        </w:r>
      </w:hyperlink>
      <w:r>
        <w:rPr/>
        <w:t xml:space="preserve">-аас үзнэ. </w:t>
      </w:r>
      <w:r>
        <w:rPr>
          <w:rFonts w:ascii="Consolas" w:hAnsi="Consolas" w:cs="Consolas"/>
          <w:shd w:fill="F0F5F3" w:val="clear"/>
        </w:rPr>
        <w:t xml:space="preserve">Last-Reviewed</w:t>
      </w:r>
      <w:r>
        <w:rPr/>
        <w:t xml:space="preserve"> нь энэхүү шинэчлэлийн шалгасан огноо; анхны тайлангийн 2026-09-28 огноогоор шинэ шалгалтыг орлуулаагүй.</w:t>
      </w:r>
    </w:p>
    <w:p>
      <w:pPr>
        <w:sectPr>
          <w:footerReference w:type="default" r:id="rIdFooter"/>
          <w:headerReference w:type="default" r:id="rIdHeader"/>
          <w:type w:val="nextPage"/>
          <w:pgSz w:w="11906" w:h="16838" w:orient="portrait"/>
          <w:pgMar w:top="1021" w:right="1021" w:bottom="1021" w:left="1021" w:header="400" w:footer="400" w:gutter="0"/>
        </w:sectPr>
      </w:pPr>
    </w:p>
    <w:tbl>
      <w:tblPr>
        <w:tblW w:w="14796"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036"/>
        <w:gridCol w:w="2663"/>
        <w:gridCol w:w="1776"/>
        <w:gridCol w:w="2515"/>
        <w:gridCol w:w="1776"/>
        <w:gridCol w:w="1628"/>
        <w:gridCol w:w="2071"/>
        <w:gridCol w:w="1331"/>
      </w:tblGrid>
      <w:tr>
        <w:trPr>
          <w:cantSplit/>
          <w:tblHeader/>
        </w:trPr>
        <w:tc>
          <w:tcPr>
            <w:tcW w:w="1036" w:type="dxa"/>
            <w:vAlign w:val="top"/>
            <w:shd w:fill="E5EFEC" w:val="clear"/>
          </w:tcPr>
          <w:p>
            <w:pPr>
              <w:pStyle w:val="TableText"/>
            </w:pPr>
            <w:r>
              <w:rPr>
                <w:b/>
                <w:sz w:val="15"/>
              </w:rPr>
              <w:t xml:space="preserve">ID</w:t>
            </w:r>
          </w:p>
        </w:tc>
        <w:tc>
          <w:tcPr>
            <w:tcW w:w="2663" w:type="dxa"/>
            <w:vAlign w:val="top"/>
            <w:shd w:fill="E5EFEC" w:val="clear"/>
          </w:tcPr>
          <w:p>
            <w:pPr>
              <w:pStyle w:val="TableText"/>
            </w:pPr>
            <w:r>
              <w:rPr>
                <w:b/>
                <w:sz w:val="15"/>
              </w:rPr>
              <w:t xml:space="preserve">Source</w:t>
            </w:r>
          </w:p>
        </w:tc>
        <w:tc>
          <w:tcPr>
            <w:tcW w:w="1776" w:type="dxa"/>
            <w:vAlign w:val="top"/>
            <w:shd w:fill="E5EFEC" w:val="clear"/>
          </w:tcPr>
          <w:p>
            <w:pPr>
              <w:pStyle w:val="TableText"/>
            </w:pPr>
            <w:r>
              <w:rPr>
                <w:b/>
                <w:sz w:val="15"/>
              </w:rPr>
              <w:t xml:space="preserve">Owner</w:t>
            </w:r>
          </w:p>
        </w:tc>
        <w:tc>
          <w:tcPr>
            <w:tcW w:w="2515" w:type="dxa"/>
            <w:vAlign w:val="top"/>
            <w:shd w:fill="E5EFEC" w:val="clear"/>
          </w:tcPr>
          <w:p>
            <w:pPr>
              <w:pStyle w:val="TableText"/>
            </w:pPr>
            <w:r>
              <w:rPr>
                <w:b/>
                <w:sz w:val="15"/>
              </w:rPr>
              <w:t xml:space="preserve">Verification</w:t>
            </w:r>
          </w:p>
        </w:tc>
        <w:tc>
          <w:tcPr>
            <w:tcW w:w="1776" w:type="dxa"/>
            <w:vAlign w:val="top"/>
            <w:shd w:fill="E5EFEC" w:val="clear"/>
          </w:tcPr>
          <w:p>
            <w:pPr>
              <w:pStyle w:val="TableText"/>
            </w:pPr>
            <w:r>
              <w:rPr>
                <w:b/>
                <w:sz w:val="15"/>
              </w:rPr>
              <w:t xml:space="preserve">Dependency</w:t>
            </w:r>
          </w:p>
        </w:tc>
        <w:tc>
          <w:tcPr>
            <w:tcW w:w="1628" w:type="dxa"/>
            <w:vAlign w:val="top"/>
            <w:shd w:fill="E5EFEC" w:val="clear"/>
          </w:tcPr>
          <w:p>
            <w:pPr>
              <w:pStyle w:val="TableText"/>
            </w:pPr>
            <w:r>
              <w:rPr>
                <w:b/>
                <w:sz w:val="15"/>
              </w:rPr>
              <w:t xml:space="preserve">Risk</w:t>
            </w:r>
          </w:p>
        </w:tc>
        <w:tc>
          <w:tcPr>
            <w:tcW w:w="2071" w:type="dxa"/>
            <w:vAlign w:val="top"/>
            <w:shd w:fill="E5EFEC" w:val="clear"/>
          </w:tcPr>
          <w:p>
            <w:pPr>
              <w:pStyle w:val="TableText"/>
            </w:pPr>
            <w:r>
              <w:rPr>
                <w:b/>
                <w:sz w:val="15"/>
              </w:rPr>
              <w:t xml:space="preserve">Status</w:t>
            </w:r>
          </w:p>
        </w:tc>
        <w:tc>
          <w:tcPr>
            <w:tcW w:w="1331" w:type="dxa"/>
            <w:vAlign w:val="top"/>
            <w:shd w:fill="E5EFEC" w:val="clear"/>
          </w:tcPr>
          <w:p>
            <w:pPr>
              <w:pStyle w:val="TableText"/>
            </w:pPr>
            <w:r>
              <w:rPr>
                <w:b/>
                <w:sz w:val="15"/>
              </w:rPr>
              <w:t xml:space="preserve">Last-Reviewed</w:t>
            </w:r>
          </w:p>
        </w:tc>
      </w:tr>
      <w:tr>
        <w:trPr>
          <w:cantSplit/>
        </w:trPr>
        <w:tc>
          <w:tcPr>
            <w:tcW w:w="1036" w:type="dxa"/>
            <w:vAlign w:val="top"/>
          </w:tcPr>
          <w:p>
            <w:pPr>
              <w:pStyle w:val="TableText"/>
            </w:pPr>
            <w:hyperlink r:id="rIdLink19">
              <w:r>
                <w:rPr>
                  <w:color w:val="176D91"/>
                  <w:u w:val="single"/>
                  <w:sz w:val="15"/>
                </w:rPr>
                <w:t xml:space="preserve">FR-01</w:t>
              </w:r>
            </w:hyperlink>
          </w:p>
        </w:tc>
        <w:tc>
          <w:tcPr>
            <w:tcW w:w="2663" w:type="dxa"/>
            <w:vAlign w:val="top"/>
          </w:tcPr>
          <w:p>
            <w:pPr>
              <w:pStyle w:val="TableText"/>
            </w:pPr>
            <w:r>
              <w:rPr>
                <w:sz w:val="15"/>
              </w:rPr>
              <w:t xml:space="preserve">FoodFlow Menu урсгал; </w:t>
            </w:r>
            <w:hyperlink r:id="rIdLink20">
              <w:r>
                <w:rPr>
                  <w:color w:val="176D91"/>
                  <w:u w:val="single"/>
                  <w:sz w:val="15"/>
                </w:rPr>
                <w:t xml:space="preserve">Ану</w:t>
              </w:r>
            </w:hyperlink>
          </w:p>
        </w:tc>
        <w:tc>
          <w:tcPr>
            <w:tcW w:w="1776" w:type="dxa"/>
            <w:vAlign w:val="top"/>
          </w:tcPr>
          <w:p>
            <w:pPr>
              <w:pStyle w:val="TableText"/>
            </w:pPr>
            <w:r>
              <w:rPr>
                <w:sz w:val="15"/>
              </w:rPr>
              <w:t xml:space="preserve">Product owner — санал болгосон үүрэг</w:t>
            </w:r>
          </w:p>
        </w:tc>
        <w:tc>
          <w:tcPr>
            <w:tcW w:w="2515" w:type="dxa"/>
            <w:vAlign w:val="top"/>
          </w:tcPr>
          <w:p>
            <w:pPr>
              <w:pStyle w:val="TableText"/>
            </w:pPr>
            <w:r>
              <w:rPr>
                <w:rFonts w:ascii="Consolas" w:hAnsi="Consolas" w:cs="Consolas"/>
                <w:shd w:fill="F0F5F3" w:val="clear"/>
                <w:sz w:val="15"/>
              </w:rPr>
              <w:t xml:space="preserve">TC-FR01</w:t>
            </w:r>
            <w:r>
              <w:rPr>
                <w:sz w:val="15"/>
              </w:rPr>
              <w:t xml:space="preserve">; Test + Inspection; runtime evidence хүлээгдэнэ</w:t>
            </w:r>
          </w:p>
        </w:tc>
        <w:tc>
          <w:tcPr>
            <w:tcW w:w="1776" w:type="dxa"/>
            <w:vAlign w:val="top"/>
          </w:tcPr>
          <w:p>
            <w:pPr>
              <w:pStyle w:val="TableText"/>
            </w:pPr>
            <w:r>
              <w:rPr>
                <w:sz w:val="15"/>
              </w:rPr>
              <w:t xml:space="preserve">Каталогийн өгөгдөл ба list interface</w:t>
            </w:r>
          </w:p>
        </w:tc>
        <w:tc>
          <w:tcPr>
            <w:tcW w:w="1628" w:type="dxa"/>
            <w:vAlign w:val="top"/>
          </w:tcPr>
          <w:p>
            <w:pPr>
              <w:pStyle w:val="TableText"/>
            </w:pPr>
            <w:r>
              <w:rPr>
                <w:sz w:val="15"/>
              </w:rPr>
              <w:t xml:space="preserve">Medium — идэвхгүй хоол эсвэл буруу үнэ харагдах</w:t>
            </w:r>
          </w:p>
        </w:tc>
        <w:tc>
          <w:tcPr>
            <w:tcW w:w="2071" w:type="dxa"/>
            <w:vAlign w:val="top"/>
          </w:tcPr>
          <w:p>
            <w:pPr>
              <w:pStyle w:val="TableText"/>
            </w:pPr>
            <w:r>
              <w:rPr>
                <w:sz w:val="15"/>
              </w:rPr>
              <w:t xml:space="preserve">W02 ноорог шинэчилсэн; бүтээгдэхүүний гүйцэтгэл баталгаажаагүй</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hyperlink r:id="rIdLink21">
              <w:r>
                <w:rPr>
                  <w:color w:val="176D91"/>
                  <w:u w:val="single"/>
                  <w:sz w:val="15"/>
                </w:rPr>
                <w:t xml:space="preserve">FR-04</w:t>
              </w:r>
            </w:hyperlink>
          </w:p>
        </w:tc>
        <w:tc>
          <w:tcPr>
            <w:tcW w:w="2663" w:type="dxa"/>
            <w:vAlign w:val="top"/>
            <w:shd w:fill="F6F9FA" w:val="clear"/>
          </w:tcPr>
          <w:p>
            <w:pPr>
              <w:pStyle w:val="TableText"/>
            </w:pPr>
            <w:r>
              <w:rPr>
                <w:sz w:val="15"/>
              </w:rPr>
              <w:t xml:space="preserve">W01 </w:t>
            </w:r>
            <w:r>
              <w:rPr>
                <w:rFonts w:ascii="Consolas" w:hAnsi="Consolas" w:cs="Consolas"/>
                <w:shd w:fill="F0F5F3" w:val="clear"/>
                <w:sz w:val="15"/>
              </w:rPr>
              <w:t xml:space="preserve">P-ANU-02</w:t>
            </w:r>
            <w:r>
              <w:rPr>
                <w:sz w:val="15"/>
              </w:rPr>
              <w:t xml:space="preserve">; UI/API өгөгдлийн гэрээ</w:t>
            </w:r>
          </w:p>
        </w:tc>
        <w:tc>
          <w:tcPr>
            <w:tcW w:w="1776" w:type="dxa"/>
            <w:vAlign w:val="top"/>
            <w:shd w:fill="F6F9FA" w:val="clear"/>
          </w:tcPr>
          <w:p>
            <w:pPr>
              <w:pStyle w:val="TableText"/>
            </w:pPr>
            <w:r>
              <w:rPr>
                <w:sz w:val="15"/>
              </w:rPr>
              <w:t xml:space="preserve">Frontend owner — санал болгосон үүрэг</w:t>
            </w:r>
          </w:p>
        </w:tc>
        <w:tc>
          <w:tcPr>
            <w:tcW w:w="2515" w:type="dxa"/>
            <w:vAlign w:val="top"/>
            <w:shd w:fill="F6F9FA" w:val="clear"/>
          </w:tcPr>
          <w:p>
            <w:pPr>
              <w:pStyle w:val="TableText"/>
            </w:pPr>
            <w:r>
              <w:rPr>
                <w:rFonts w:ascii="Consolas" w:hAnsi="Consolas" w:cs="Consolas"/>
                <w:shd w:fill="F0F5F3" w:val="clear"/>
                <w:sz w:val="15"/>
              </w:rPr>
              <w:t xml:space="preserve">TC-FR04</w:t>
            </w:r>
            <w:r>
              <w:rPr>
                <w:sz w:val="15"/>
              </w:rPr>
              <w:t xml:space="preserve">; Test; runtime evidence хүлээгдэнэ</w:t>
            </w:r>
          </w:p>
        </w:tc>
        <w:tc>
          <w:tcPr>
            <w:tcW w:w="1776" w:type="dxa"/>
            <w:vAlign w:val="top"/>
            <w:shd w:fill="F6F9FA" w:val="clear"/>
          </w:tcPr>
          <w:p>
            <w:pPr>
              <w:pStyle w:val="TableText"/>
            </w:pPr>
            <w:r>
              <w:rPr>
                <w:sz w:val="15"/>
              </w:rPr>
              <w:t xml:space="preserve">FR-01, cart interface</w:t>
            </w:r>
          </w:p>
        </w:tc>
        <w:tc>
          <w:tcPr>
            <w:tcW w:w="1628" w:type="dxa"/>
            <w:vAlign w:val="top"/>
            <w:shd w:fill="F6F9FA" w:val="clear"/>
          </w:tcPr>
          <w:p>
            <w:pPr>
              <w:pStyle w:val="TableText"/>
            </w:pPr>
            <w:r>
              <w:rPr>
                <w:sz w:val="15"/>
              </w:rPr>
              <w:t xml:space="preserve">High — буруу хоол, буруу тоо захиалгад орох</w:t>
            </w:r>
          </w:p>
        </w:tc>
        <w:tc>
          <w:tcPr>
            <w:tcW w:w="2071" w:type="dxa"/>
            <w:vAlign w:val="top"/>
            <w:shd w:fill="F6F9FA" w:val="clear"/>
          </w:tcPr>
          <w:p>
            <w:pPr>
              <w:pStyle w:val="TableText"/>
            </w:pPr>
            <w:r>
              <w:rPr>
                <w:sz w:val="15"/>
              </w:rPr>
              <w:t xml:space="preserve">W02 ноорог шинэчилсэн; UI test хүлээгдэнэ</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hyperlink r:id="rIdLink22">
              <w:r>
                <w:rPr>
                  <w:color w:val="176D91"/>
                  <w:u w:val="single"/>
                  <w:sz w:val="15"/>
                </w:rPr>
                <w:t xml:space="preserve">FR-11</w:t>
              </w:r>
            </w:hyperlink>
          </w:p>
        </w:tc>
        <w:tc>
          <w:tcPr>
            <w:tcW w:w="2663" w:type="dxa"/>
            <w:vAlign w:val="top"/>
          </w:tcPr>
          <w:p>
            <w:pPr>
              <w:pStyle w:val="TableText"/>
            </w:pPr>
            <w:r>
              <w:rPr>
                <w:sz w:val="15"/>
              </w:rPr>
              <w:t xml:space="preserve">Checkout story; давхар захиалгаас сэргийлэх хэрэгцээ</w:t>
            </w:r>
          </w:p>
        </w:tc>
        <w:tc>
          <w:tcPr>
            <w:tcW w:w="1776" w:type="dxa"/>
            <w:vAlign w:val="top"/>
          </w:tcPr>
          <w:p>
            <w:pPr>
              <w:pStyle w:val="TableText"/>
            </w:pPr>
            <w:r>
              <w:rPr>
                <w:sz w:val="15"/>
              </w:rPr>
              <w:t xml:space="preserve">Backend owner — санал болгосон үүрэг</w:t>
            </w:r>
          </w:p>
        </w:tc>
        <w:tc>
          <w:tcPr>
            <w:tcW w:w="2515" w:type="dxa"/>
            <w:vAlign w:val="top"/>
          </w:tcPr>
          <w:p>
            <w:pPr>
              <w:pStyle w:val="TableText"/>
            </w:pPr>
            <w:r>
              <w:rPr>
                <w:rFonts w:ascii="Consolas" w:hAnsi="Consolas" w:cs="Consolas"/>
                <w:shd w:fill="F0F5F3" w:val="clear"/>
                <w:sz w:val="15"/>
              </w:rPr>
              <w:t xml:space="preserve">TC-FR11</w:t>
            </w:r>
            <w:r>
              <w:rPr>
                <w:sz w:val="15"/>
              </w:rPr>
              <w:t xml:space="preserve">; Test; HTTP execution хүлээгдэнэ</w:t>
            </w:r>
          </w:p>
        </w:tc>
        <w:tc>
          <w:tcPr>
            <w:tcW w:w="1776" w:type="dxa"/>
            <w:vAlign w:val="top"/>
          </w:tcPr>
          <w:p>
            <w:pPr>
              <w:pStyle w:val="TableText"/>
            </w:pPr>
            <w:r>
              <w:rPr>
                <w:sz w:val="15"/>
              </w:rPr>
              <w:t xml:space="preserve">Сагс, хаяг, төлбөрийн арга, idempotency гэрээ</w:t>
            </w:r>
          </w:p>
        </w:tc>
        <w:tc>
          <w:tcPr>
            <w:tcW w:w="1628" w:type="dxa"/>
            <w:vAlign w:val="top"/>
          </w:tcPr>
          <w:p>
            <w:pPr>
              <w:pStyle w:val="TableText"/>
            </w:pPr>
            <w:r>
              <w:rPr>
                <w:sz w:val="15"/>
              </w:rPr>
              <w:t xml:space="preserve">High — давхар order/төлбөрийн эрсдэл</w:t>
            </w:r>
          </w:p>
        </w:tc>
        <w:tc>
          <w:tcPr>
            <w:tcW w:w="2071" w:type="dxa"/>
            <w:vAlign w:val="top"/>
          </w:tcPr>
          <w:p>
            <w:pPr>
              <w:pStyle w:val="TableText"/>
            </w:pPr>
            <w:r>
              <w:rPr>
                <w:sz w:val="15"/>
              </w:rPr>
              <w:t xml:space="preserve">W02 procedure бэлэн; бодит интеграц баталгаажаагүй</w:t>
            </w:r>
          </w:p>
        </w:tc>
        <w:tc>
          <w:tcPr>
            <w:tcW w:w="1331" w:type="dxa"/>
            <w:vAlign w:val="top"/>
          </w:tcPr>
          <w:p>
            <w:pPr>
              <w:pStyle w:val="TableText"/>
            </w:pPr>
            <w:r>
              <w:rPr>
                <w:sz w:val="15"/>
              </w:rPr>
              <w:t xml:space="preserve">2026-10-13</w:t>
            </w:r>
          </w:p>
        </w:tc>
      </w:tr>
      <w:tr>
        <w:trPr>
          <w:cantSplit/>
        </w:trPr>
        <w:tc>
          <w:tcPr>
            <w:tcW w:w="1036" w:type="dxa"/>
            <w:vAlign w:val="top"/>
            <w:shd w:fill="F6F9FA" w:val="clear"/>
          </w:tcPr>
          <w:p>
            <w:pPr>
              <w:pStyle w:val="TableText"/>
            </w:pPr>
            <w:hyperlink r:id="rIdLink23">
              <w:r>
                <w:rPr>
                  <w:color w:val="176D91"/>
                  <w:u w:val="single"/>
                  <w:sz w:val="15"/>
                </w:rPr>
                <w:t xml:space="preserve">NFR-01</w:t>
              </w:r>
            </w:hyperlink>
          </w:p>
        </w:tc>
        <w:tc>
          <w:tcPr>
            <w:tcW w:w="2663" w:type="dxa"/>
            <w:vAlign w:val="top"/>
            <w:shd w:fill="F6F9FA" w:val="clear"/>
          </w:tcPr>
          <w:p>
            <w:pPr>
              <w:pStyle w:val="TableText"/>
            </w:pPr>
            <w:r>
              <w:rPr>
                <w:sz w:val="15"/>
              </w:rPr>
              <w:t xml:space="preserve">Хурдан эхлэх хэрэгцээ; </w:t>
            </w:r>
            <w:hyperlink r:id="rIdLink24">
              <w:r>
                <w:rPr>
                  <w:color w:val="176D91"/>
                  <w:u w:val="single"/>
                  <w:sz w:val="15"/>
                </w:rPr>
                <w:t xml:space="preserve">web.dev LCP</w:t>
              </w:r>
            </w:hyperlink>
          </w:p>
        </w:tc>
        <w:tc>
          <w:tcPr>
            <w:tcW w:w="1776" w:type="dxa"/>
            <w:vAlign w:val="top"/>
            <w:shd w:fill="F6F9FA" w:val="clear"/>
          </w:tcPr>
          <w:p>
            <w:pPr>
              <w:pStyle w:val="TableText"/>
            </w:pPr>
            <w:r>
              <w:rPr>
                <w:sz w:val="15"/>
              </w:rPr>
              <w:t xml:space="preserve">QA — санал болгосон үүрэг</w:t>
            </w:r>
          </w:p>
        </w:tc>
        <w:tc>
          <w:tcPr>
            <w:tcW w:w="2515" w:type="dxa"/>
            <w:vAlign w:val="top"/>
            <w:shd w:fill="F6F9FA" w:val="clear"/>
          </w:tcPr>
          <w:p>
            <w:pPr>
              <w:pStyle w:val="TableText"/>
            </w:pPr>
            <w:r>
              <w:rPr>
                <w:rFonts w:ascii="Consolas" w:hAnsi="Consolas" w:cs="Consolas"/>
                <w:shd w:fill="F0F5F3" w:val="clear"/>
                <w:sz w:val="15"/>
              </w:rPr>
              <w:t xml:space="preserve">TC-NFR01</w:t>
            </w:r>
            <w:r>
              <w:rPr>
                <w:sz w:val="15"/>
              </w:rPr>
              <w:t xml:space="preserve">; Analysis + Test; raw runs хүлээгдэнэ</w:t>
            </w:r>
          </w:p>
        </w:tc>
        <w:tc>
          <w:tcPr>
            <w:tcW w:w="1776" w:type="dxa"/>
            <w:vAlign w:val="top"/>
            <w:shd w:fill="F6F9FA" w:val="clear"/>
          </w:tcPr>
          <w:p>
            <w:pPr>
              <w:pStyle w:val="TableText"/>
            </w:pPr>
            <w:r>
              <w:rPr>
                <w:sz w:val="15"/>
              </w:rPr>
              <w:t xml:space="preserve">FR-01; веб UI; баталсан performance protocol</w:t>
            </w:r>
          </w:p>
        </w:tc>
        <w:tc>
          <w:tcPr>
            <w:tcW w:w="1628" w:type="dxa"/>
            <w:vAlign w:val="top"/>
            <w:shd w:fill="F6F9FA" w:val="clear"/>
          </w:tcPr>
          <w:p>
            <w:pPr>
              <w:pStyle w:val="TableText"/>
            </w:pPr>
            <w:r>
              <w:rPr>
                <w:sz w:val="15"/>
              </w:rPr>
              <w:t xml:space="preserve">Medium — хоолны жагсаалт удаан харагдах</w:t>
            </w:r>
          </w:p>
        </w:tc>
        <w:tc>
          <w:tcPr>
            <w:tcW w:w="2071" w:type="dxa"/>
            <w:vAlign w:val="top"/>
            <w:shd w:fill="F6F9FA" w:val="clear"/>
          </w:tcPr>
          <w:p>
            <w:pPr>
              <w:pStyle w:val="TableText"/>
            </w:pPr>
            <w:r>
              <w:rPr>
                <w:sz w:val="15"/>
              </w:rPr>
              <w:t xml:space="preserve">Хэмжих арга тодруулсан; хэмжилт хийгдээгүй</w:t>
            </w:r>
          </w:p>
        </w:tc>
        <w:tc>
          <w:tcPr>
            <w:tcW w:w="1331" w:type="dxa"/>
            <w:vAlign w:val="top"/>
            <w:shd w:fill="F6F9FA" w:val="clear"/>
          </w:tcPr>
          <w:p>
            <w:pPr>
              <w:pStyle w:val="TableText"/>
            </w:pPr>
            <w:r>
              <w:rPr>
                <w:sz w:val="15"/>
              </w:rPr>
              <w:t xml:space="preserve">2026-10-13</w:t>
            </w:r>
          </w:p>
        </w:tc>
      </w:tr>
      <w:tr>
        <w:trPr>
          <w:cantSplit/>
        </w:trPr>
        <w:tc>
          <w:tcPr>
            <w:tcW w:w="1036" w:type="dxa"/>
            <w:vAlign w:val="top"/>
          </w:tcPr>
          <w:p>
            <w:pPr>
              <w:pStyle w:val="TableText"/>
            </w:pPr>
            <w:hyperlink r:id="rIdLink25">
              <w:r>
                <w:rPr>
                  <w:color w:val="176D91"/>
                  <w:u w:val="single"/>
                  <w:sz w:val="15"/>
                </w:rPr>
                <w:t xml:space="preserve">NFR-03</w:t>
              </w:r>
            </w:hyperlink>
          </w:p>
        </w:tc>
        <w:tc>
          <w:tcPr>
            <w:tcW w:w="2663" w:type="dxa"/>
            <w:vAlign w:val="top"/>
          </w:tcPr>
          <w:p>
            <w:pPr>
              <w:pStyle w:val="TableText"/>
            </w:pPr>
            <w:r>
              <w:rPr>
                <w:sz w:val="15"/>
              </w:rPr>
              <w:t xml:space="preserve">Order ownership; W01 </w:t>
            </w:r>
            <w:r>
              <w:rPr>
                <w:rFonts w:ascii="Consolas" w:hAnsi="Consolas" w:cs="Consolas"/>
                <w:shd w:fill="F0F5F3" w:val="clear"/>
                <w:sz w:val="15"/>
              </w:rPr>
              <w:t xml:space="preserve">P-ANU-01</w:t>
            </w:r>
          </w:p>
        </w:tc>
        <w:tc>
          <w:tcPr>
            <w:tcW w:w="1776" w:type="dxa"/>
            <w:vAlign w:val="top"/>
          </w:tcPr>
          <w:p>
            <w:pPr>
              <w:pStyle w:val="TableText"/>
            </w:pPr>
            <w:r>
              <w:rPr>
                <w:sz w:val="15"/>
              </w:rPr>
              <w:t xml:space="preserve">Backend owner — санал болгосон үүрэг</w:t>
            </w:r>
          </w:p>
        </w:tc>
        <w:tc>
          <w:tcPr>
            <w:tcW w:w="2515" w:type="dxa"/>
            <w:vAlign w:val="top"/>
          </w:tcPr>
          <w:p>
            <w:pPr>
              <w:pStyle w:val="TableText"/>
            </w:pPr>
            <w:r>
              <w:rPr>
                <w:rFonts w:ascii="Consolas" w:hAnsi="Consolas" w:cs="Consolas"/>
                <w:shd w:fill="F0F5F3" w:val="clear"/>
                <w:sz w:val="15"/>
              </w:rPr>
              <w:t xml:space="preserve">TC-NFR03</w:t>
            </w:r>
            <w:r>
              <w:rPr>
                <w:sz w:val="15"/>
              </w:rPr>
              <w:t xml:space="preserve">; Test + Inspection; auth execution хүлээгдэнэ</w:t>
            </w:r>
          </w:p>
        </w:tc>
        <w:tc>
          <w:tcPr>
            <w:tcW w:w="1776" w:type="dxa"/>
            <w:vAlign w:val="top"/>
          </w:tcPr>
          <w:p>
            <w:pPr>
              <w:pStyle w:val="TableText"/>
            </w:pPr>
            <w:r>
              <w:rPr>
                <w:sz w:val="15"/>
              </w:rPr>
              <w:t xml:space="preserve">Хэрэглэгчийн таних үйлчилгээ, order read interface</w:t>
            </w:r>
          </w:p>
        </w:tc>
        <w:tc>
          <w:tcPr>
            <w:tcW w:w="1628" w:type="dxa"/>
            <w:vAlign w:val="top"/>
          </w:tcPr>
          <w:p>
            <w:pPr>
              <w:pStyle w:val="TableText"/>
            </w:pPr>
            <w:r>
              <w:rPr>
                <w:sz w:val="15"/>
              </w:rPr>
              <w:t xml:space="preserve">High — бусдын захиалгын мэдээлэл задрах</w:t>
            </w:r>
          </w:p>
        </w:tc>
        <w:tc>
          <w:tcPr>
            <w:tcW w:w="2071" w:type="dxa"/>
            <w:vAlign w:val="top"/>
          </w:tcPr>
          <w:p>
            <w:pPr>
              <w:pStyle w:val="TableText"/>
            </w:pPr>
            <w:r>
              <w:rPr>
                <w:sz w:val="15"/>
              </w:rPr>
              <w:t xml:space="preserve">Шалгах нөхцөл бэлэн; security evidence хүлээгдэнэ</w:t>
            </w:r>
          </w:p>
        </w:tc>
        <w:tc>
          <w:tcPr>
            <w:tcW w:w="1331" w:type="dxa"/>
            <w:vAlign w:val="top"/>
          </w:tcPr>
          <w:p>
            <w:pPr>
              <w:pStyle w:val="TableText"/>
            </w:pPr>
            <w:r>
              <w:rPr>
                <w:sz w:val="15"/>
              </w:rPr>
              <w:t xml:space="preserve">2026-10-13</w:t>
            </w:r>
          </w:p>
        </w:tc>
      </w:tr>
    </w:tbl>
    <w:p>
      <w:pPr>
        <w:pStyle w:val="Gap"/>
      </w:pPr>
    </w:p>
    <w:p>
      <w:pPr>
        <w:sectPr>
          <w:footerReference w:type="default" r:id="rIdFooter"/>
          <w:headerReference w:type="default" r:id="rIdHeader"/>
          <w:type w:val="nextPage"/>
          <w:pgSz w:w="16838" w:h="11906" w:orient="landscape"/>
          <w:pgMar w:top="1021" w:right="1021" w:bottom="1021" w:left="1021" w:header="400" w:footer="400" w:gutter="0"/>
        </w:sectPr>
      </w:pPr>
    </w:p>
    <w:p>
      <w:pPr>
        <w:pStyle w:val="Normal"/>
      </w:pPr>
      <w:r>
        <w:rPr/>
        <w:t xml:space="preserve">Эх сурвалж баганад бодит ярилцлага байхгүйг нуугаагүй. Handout-ийн “source interview recorded” шалгуурыг хаахын тулд owner-ийн зөвшөөрөлтэй тэмдэглэл болон persona ярилцлагын бодит холбоос шаардлагатай.</w:t>
      </w:r>
    </w:p>
    <w:p>
      <w:pPr>
        <w:pStyle w:val="Heading2"/>
      </w:pPr>
      <w:r>
        <w:rPr/>
        <w:t xml:space="preserve">6. Peer review-д өгөх багц</w:t>
      </w:r>
    </w:p>
    <w:p>
      <w:pPr>
        <w:pStyle w:val="Normal"/>
      </w:pPr>
      <w:r>
        <w:rPr/>
        <w:t xml:space="preserve">Хянагчид өгөх агуулга: </w:t>
      </w:r>
      <w:hyperlink r:id="rIdLink26">
        <w:r>
          <w:rPr>
            <w:color w:val="176D91"/>
            <w:u w:val="single"/>
          </w:rPr>
          <w:t xml:space="preserve">Scope Charter</w:t>
        </w:r>
      </w:hyperlink>
      <w:r>
        <w:rPr/>
        <w:t xml:space="preserve">, энэ баримтын SRS зураглал, таван шаардлага, найман баганатай хүснэгт. Дараах нь илгээхэд бэлэн </w:t>
      </w:r>
      <w:r>
        <w:rPr>
          <w:b/>
        </w:rPr>
        <w:t xml:space="preserve">ноорог</w:t>
      </w:r>
      <w:r>
        <w:rPr/>
        <w:t xml:space="preserve"> бөгөөд бодит багт зурвас илгээсэн гэсэн нотолгоо биш.</w:t>
      </w:r>
    </w:p>
    <w:p>
      <w:pPr>
        <w:pStyle w:val="Quote"/>
      </w:pPr>
      <w:r>
        <w:rPr/>
        <w:t xml:space="preserve">FoodFlow-ийн W02 хүрээ, SRS зураглал, таван шаардлага, мөрдөх хүснэгтийг хянаж өгнө үү. Хассан боломжийн үндэслэл ойлгомжтой эсэх, FR-11-ийн эхний ба давтан хүсэлтийн хил, NFR-01-ийн хэмжилтийн орчин, NFR-03-ийн control хүсэлт, persona-тай холбосон эх сурвалжийг шалгана уу. Санал бүрд нөлөөлөх хэсэг, шалтгаан, засах хувилбарыг тэмдэглэнэ үү.</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5286"/>
        <w:gridCol w:w="4578"/>
      </w:tblGrid>
      <w:tr>
        <w:trPr>
          <w:cantSplit/>
          <w:tblHeader/>
        </w:trPr>
        <w:tc>
          <w:tcPr>
            <w:tcW w:w="5286" w:type="dxa"/>
            <w:vAlign w:val="top"/>
            <w:shd w:fill="E5EFEC" w:val="clear"/>
          </w:tcPr>
          <w:p>
            <w:pPr>
              <w:pStyle w:val="TableText"/>
            </w:pPr>
            <w:r>
              <w:rPr>
                <w:b/>
                <w:sz w:val="18"/>
              </w:rPr>
              <w:t xml:space="preserve">Хянагчийн шалгах зүйл</w:t>
            </w:r>
          </w:p>
        </w:tc>
        <w:tc>
          <w:tcPr>
            <w:tcW w:w="4578" w:type="dxa"/>
            <w:vAlign w:val="top"/>
            <w:shd w:fill="E5EFEC" w:val="clear"/>
          </w:tcPr>
          <w:p>
            <w:pPr>
              <w:pStyle w:val="TableText"/>
            </w:pPr>
            <w:r>
              <w:rPr>
                <w:b/>
                <w:sz w:val="18"/>
              </w:rPr>
              <w:t xml:space="preserve">Бүртгэх нотолгоо</w:t>
            </w:r>
          </w:p>
        </w:tc>
      </w:tr>
      <w:tr>
        <w:trPr>
          <w:cantSplit/>
        </w:trPr>
        <w:tc>
          <w:tcPr>
            <w:tcW w:w="5286" w:type="dxa"/>
            <w:vAlign w:val="top"/>
          </w:tcPr>
          <w:p>
            <w:pPr>
              <w:pStyle w:val="TableText"/>
            </w:pPr>
            <w:r>
              <w:rPr>
                <w:sz w:val="18"/>
              </w:rPr>
              <w:t xml:space="preserve">Scope-ийн оруулсан ба хассан зүйл хоорондоо зөрчилгүй юу?</w:t>
            </w:r>
          </w:p>
        </w:tc>
        <w:tc>
          <w:tcPr>
            <w:tcW w:w="4578" w:type="dxa"/>
            <w:vAlign w:val="top"/>
          </w:tcPr>
          <w:p>
            <w:pPr>
              <w:pStyle w:val="TableText"/>
            </w:pPr>
            <w:r>
              <w:rPr>
                <w:sz w:val="18"/>
              </w:rPr>
              <w:t xml:space="preserve">Comment/issue URL, санал, шийдвэр</w:t>
            </w:r>
          </w:p>
        </w:tc>
      </w:tr>
      <w:tr>
        <w:trPr>
          <w:cantSplit/>
        </w:trPr>
        <w:tc>
          <w:tcPr>
            <w:tcW w:w="5286" w:type="dxa"/>
            <w:vAlign w:val="top"/>
            <w:shd w:fill="F6F9FA" w:val="clear"/>
          </w:tcPr>
          <w:p>
            <w:pPr>
              <w:pStyle w:val="TableText"/>
            </w:pPr>
            <w:r>
              <w:rPr>
                <w:sz w:val="18"/>
              </w:rPr>
              <w:t xml:space="preserve">Шаардлага бүр нэг утга, тодорхой эрэмбэ, шалгах босготой юу?</w:t>
            </w:r>
          </w:p>
        </w:tc>
        <w:tc>
          <w:tcPr>
            <w:tcW w:w="4578" w:type="dxa"/>
            <w:vAlign w:val="top"/>
            <w:shd w:fill="F6F9FA" w:val="clear"/>
          </w:tcPr>
          <w:p>
            <w:pPr>
              <w:pStyle w:val="TableText"/>
            </w:pPr>
            <w:r>
              <w:rPr>
                <w:sz w:val="18"/>
              </w:rPr>
              <w:t xml:space="preserve">Хамаарах ID, before/after diff</w:t>
            </w:r>
          </w:p>
        </w:tc>
      </w:tr>
      <w:tr>
        <w:trPr>
          <w:cantSplit/>
        </w:trPr>
        <w:tc>
          <w:tcPr>
            <w:tcW w:w="5286" w:type="dxa"/>
            <w:vAlign w:val="top"/>
          </w:tcPr>
          <w:p>
            <w:pPr>
              <w:pStyle w:val="TableText"/>
            </w:pPr>
            <w:r>
              <w:rPr>
                <w:sz w:val="18"/>
              </w:rPr>
              <w:t xml:space="preserve">Persona-ийн асуудал үнэхээр тухайн шаардлагад хүргэж байна уу?</w:t>
            </w:r>
          </w:p>
        </w:tc>
        <w:tc>
          <w:tcPr>
            <w:tcW w:w="4578" w:type="dxa"/>
            <w:vAlign w:val="top"/>
          </w:tcPr>
          <w:p>
            <w:pPr>
              <w:pStyle w:val="TableText"/>
            </w:pPr>
            <w:r>
              <w:rPr>
                <w:sz w:val="18"/>
              </w:rPr>
              <w:t xml:space="preserve">Эх сурвалжийн тайлбар; interview-ийн хэрэгцээ</w:t>
            </w:r>
          </w:p>
        </w:tc>
      </w:tr>
      <w:tr>
        <w:trPr>
          <w:cantSplit/>
        </w:trPr>
        <w:tc>
          <w:tcPr>
            <w:tcW w:w="5286" w:type="dxa"/>
            <w:vAlign w:val="top"/>
            <w:shd w:fill="F6F9FA" w:val="clear"/>
          </w:tcPr>
          <w:p>
            <w:pPr>
              <w:pStyle w:val="TableText"/>
            </w:pPr>
            <w:r>
              <w:rPr>
                <w:sz w:val="18"/>
              </w:rPr>
              <w:t xml:space="preserve">Шалгалтын procedure ажиллуулахаар хангалттай юу?</w:t>
            </w:r>
          </w:p>
        </w:tc>
        <w:tc>
          <w:tcPr>
            <w:tcW w:w="4578" w:type="dxa"/>
            <w:vAlign w:val="top"/>
            <w:shd w:fill="F6F9FA" w:val="clear"/>
          </w:tcPr>
          <w:p>
            <w:pPr>
              <w:pStyle w:val="TableText"/>
            </w:pPr>
            <w:r>
              <w:rPr>
                <w:sz w:val="18"/>
              </w:rPr>
              <w:t xml:space="preserve">Орчин, fixture, арга, дутсан нөхцөл</w:t>
            </w:r>
          </w:p>
        </w:tc>
      </w:tr>
      <w:tr>
        <w:trPr>
          <w:cantSplit/>
        </w:trPr>
        <w:tc>
          <w:tcPr>
            <w:tcW w:w="5286" w:type="dxa"/>
            <w:vAlign w:val="top"/>
          </w:tcPr>
          <w:p>
            <w:pPr>
              <w:pStyle w:val="TableText"/>
            </w:pPr>
            <w:r>
              <w:rPr>
                <w:sz w:val="18"/>
              </w:rPr>
              <w:t xml:space="preserve">Саналыг шийдсэн үү?</w:t>
            </w:r>
          </w:p>
        </w:tc>
        <w:tc>
          <w:tcPr>
            <w:tcW w:w="4578" w:type="dxa"/>
            <w:vAlign w:val="top"/>
          </w:tcPr>
          <w:p>
            <w:pPr>
              <w:pStyle w:val="TableText"/>
            </w:pPr>
            <w:r>
              <w:rPr>
                <w:sz w:val="18"/>
              </w:rPr>
              <w:t xml:space="preserve">Commit/PR, хянагчийн дахин шалгасан тэмдэглэл</w:t>
            </w:r>
          </w:p>
        </w:tc>
      </w:tr>
    </w:tbl>
    <w:p>
      <w:pPr>
        <w:pStyle w:val="Gap"/>
      </w:pPr>
    </w:p>
    <w:p>
      <w:pPr>
        <w:pStyle w:val="Heading2"/>
      </w:pPr>
      <w:r>
        <w:rPr/>
        <w:t xml:space="preserve">7. Definition of Done</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370"/>
        <w:gridCol w:w="2949"/>
        <w:gridCol w:w="3545"/>
      </w:tblGrid>
      <w:tr>
        <w:trPr>
          <w:cantSplit/>
          <w:tblHeader/>
        </w:trPr>
        <w:tc>
          <w:tcPr>
            <w:tcW w:w="3370" w:type="dxa"/>
            <w:vAlign w:val="top"/>
            <w:shd w:fill="E5EFEC" w:val="clear"/>
          </w:tcPr>
          <w:p>
            <w:pPr>
              <w:pStyle w:val="TableText"/>
            </w:pPr>
            <w:r>
              <w:rPr>
                <w:b/>
                <w:sz w:val="18"/>
              </w:rPr>
              <w:t xml:space="preserve">Handout-ийн шалгуур</w:t>
            </w:r>
          </w:p>
        </w:tc>
        <w:tc>
          <w:tcPr>
            <w:tcW w:w="2949" w:type="dxa"/>
            <w:vAlign w:val="top"/>
            <w:shd w:fill="E5EFEC" w:val="clear"/>
          </w:tcPr>
          <w:p>
            <w:pPr>
              <w:pStyle w:val="TableText"/>
            </w:pPr>
            <w:r>
              <w:rPr>
                <w:b/>
                <w:sz w:val="18"/>
              </w:rPr>
              <w:t xml:space="preserve">Үр дүн</w:t>
            </w:r>
          </w:p>
        </w:tc>
        <w:tc>
          <w:tcPr>
            <w:tcW w:w="3545" w:type="dxa"/>
            <w:vAlign w:val="top"/>
            <w:shd w:fill="E5EFEC" w:val="clear"/>
          </w:tcPr>
          <w:p>
            <w:pPr>
              <w:pStyle w:val="TableText"/>
            </w:pPr>
            <w:r>
              <w:rPr>
                <w:b/>
                <w:sz w:val="18"/>
              </w:rPr>
              <w:t xml:space="preserve">Төлөв</w:t>
            </w:r>
          </w:p>
        </w:tc>
      </w:tr>
      <w:tr>
        <w:trPr>
          <w:cantSplit/>
        </w:trPr>
        <w:tc>
          <w:tcPr>
            <w:tcW w:w="3370" w:type="dxa"/>
            <w:vAlign w:val="top"/>
          </w:tcPr>
          <w:p>
            <w:pPr>
              <w:pStyle w:val="TableText"/>
            </w:pPr>
            <w:r>
              <w:rPr>
                <w:sz w:val="18"/>
              </w:rPr>
              <w:t xml:space="preserve">IEEE хэсэг × агуулга × нэг төлөв бүхий SRS template</w:t>
            </w:r>
          </w:p>
        </w:tc>
        <w:tc>
          <w:tcPr>
            <w:tcW w:w="2949" w:type="dxa"/>
            <w:vAlign w:val="top"/>
          </w:tcPr>
          <w:p>
            <w:pPr>
              <w:pStyle w:val="TableText"/>
            </w:pPr>
            <w:r>
              <w:rPr>
                <w:sz w:val="18"/>
              </w:rPr>
              <w:t xml:space="preserve">2-р хэсгийн зураглал</w:t>
            </w:r>
          </w:p>
        </w:tc>
        <w:tc>
          <w:tcPr>
            <w:tcW w:w="3545" w:type="dxa"/>
            <w:vAlign w:val="top"/>
          </w:tcPr>
          <w:p>
            <w:pPr>
              <w:pStyle w:val="TableText"/>
            </w:pPr>
            <w:r>
              <w:rPr>
                <w:sz w:val="18"/>
              </w:rPr>
              <w:t xml:space="preserve">Агуулга бэлэн</w:t>
            </w:r>
          </w:p>
        </w:tc>
      </w:tr>
      <w:tr>
        <w:trPr>
          <w:cantSplit/>
        </w:trPr>
        <w:tc>
          <w:tcPr>
            <w:tcW w:w="3370" w:type="dxa"/>
            <w:vAlign w:val="top"/>
            <w:shd w:fill="F6F9FA" w:val="clear"/>
          </w:tcPr>
          <w:p>
            <w:pPr>
              <w:pStyle w:val="TableText"/>
            </w:pPr>
            <w:r>
              <w:rPr>
                <w:sz w:val="18"/>
              </w:rPr>
              <w:t xml:space="preserve">Таван testable FR/NFR; ID, эрэмбэ, verification</w:t>
            </w:r>
          </w:p>
        </w:tc>
        <w:tc>
          <w:tcPr>
            <w:tcW w:w="2949" w:type="dxa"/>
            <w:vAlign w:val="top"/>
            <w:shd w:fill="F6F9FA" w:val="clear"/>
          </w:tcPr>
          <w:p>
            <w:pPr>
              <w:pStyle w:val="TableText"/>
            </w:pPr>
            <w:r>
              <w:rPr>
                <w:sz w:val="18"/>
              </w:rPr>
              <w:t xml:space="preserve">3-р хэсэг</w:t>
            </w:r>
          </w:p>
        </w:tc>
        <w:tc>
          <w:tcPr>
            <w:tcW w:w="3545" w:type="dxa"/>
            <w:vAlign w:val="top"/>
            <w:shd w:fill="F6F9FA" w:val="clear"/>
          </w:tcPr>
          <w:p>
            <w:pPr>
              <w:pStyle w:val="TableText"/>
            </w:pPr>
            <w:r>
              <w:rPr>
                <w:sz w:val="18"/>
              </w:rPr>
              <w:t xml:space="preserve">Бэлэн; runtime pass гэж тэмдэглээгүй</w:t>
            </w:r>
          </w:p>
        </w:tc>
      </w:tr>
      <w:tr>
        <w:trPr>
          <w:cantSplit/>
        </w:trPr>
        <w:tc>
          <w:tcPr>
            <w:tcW w:w="3370" w:type="dxa"/>
            <w:vAlign w:val="top"/>
          </w:tcPr>
          <w:p>
            <w:pPr>
              <w:pStyle w:val="TableText"/>
            </w:pPr>
            <w:r>
              <w:rPr>
                <w:sz w:val="18"/>
              </w:rPr>
              <w:t xml:space="preserve">Owner ба source interview</w:t>
            </w:r>
          </w:p>
        </w:tc>
        <w:tc>
          <w:tcPr>
            <w:tcW w:w="2949" w:type="dxa"/>
            <w:vAlign w:val="top"/>
          </w:tcPr>
          <w:p>
            <w:pPr>
              <w:pStyle w:val="TableText"/>
            </w:pPr>
            <w:r>
              <w:rPr>
                <w:sz w:val="18"/>
              </w:rPr>
              <w:t xml:space="preserve">Үүргийн owner, эх сурвалжийн тайлбар</w:t>
            </w:r>
          </w:p>
        </w:tc>
        <w:tc>
          <w:tcPr>
            <w:tcW w:w="3545" w:type="dxa"/>
            <w:vAlign w:val="top"/>
          </w:tcPr>
          <w:p>
            <w:pPr>
              <w:pStyle w:val="TableText"/>
            </w:pPr>
            <w:r>
              <w:rPr>
                <w:sz w:val="18"/>
              </w:rPr>
              <w:t xml:space="preserve">Бодит owner баталгаа, interview record хүлээгдэж байна</w:t>
            </w:r>
          </w:p>
        </w:tc>
      </w:tr>
      <w:tr>
        <w:trPr>
          <w:cantSplit/>
        </w:trPr>
        <w:tc>
          <w:tcPr>
            <w:tcW w:w="3370" w:type="dxa"/>
            <w:vAlign w:val="top"/>
            <w:shd w:fill="F6F9FA" w:val="clear"/>
          </w:tcPr>
          <w:p>
            <w:pPr>
              <w:pStyle w:val="TableText"/>
            </w:pPr>
            <w:r>
              <w:rPr>
                <w:sz w:val="18"/>
              </w:rPr>
              <w:t xml:space="preserve">Найман баганатай traceability; persona холбоо</w:t>
            </w:r>
          </w:p>
        </w:tc>
        <w:tc>
          <w:tcPr>
            <w:tcW w:w="2949" w:type="dxa"/>
            <w:vAlign w:val="top"/>
            <w:shd w:fill="F6F9FA" w:val="clear"/>
          </w:tcPr>
          <w:p>
            <w:pPr>
              <w:pStyle w:val="TableText"/>
            </w:pPr>
            <w:r>
              <w:rPr>
                <w:sz w:val="18"/>
              </w:rPr>
              <w:t xml:space="preserve">5-р хэсэг; FR-04, NFR-03-ийн persona ID</w:t>
            </w:r>
          </w:p>
        </w:tc>
        <w:tc>
          <w:tcPr>
            <w:tcW w:w="3545" w:type="dxa"/>
            <w:vAlign w:val="top"/>
            <w:shd w:fill="F6F9FA" w:val="clear"/>
          </w:tcPr>
          <w:p>
            <w:pPr>
              <w:pStyle w:val="TableText"/>
            </w:pPr>
            <w:r>
              <w:rPr>
                <w:sz w:val="18"/>
              </w:rPr>
              <w:t xml:space="preserve">Бэлэн; бүрэн багц </w:t>
            </w:r>
            <w:hyperlink r:id="rIdLink27">
              <w:r>
                <w:rPr>
                  <w:color w:val="176D91"/>
                  <w:u w:val="single"/>
                  <w:sz w:val="18"/>
                </w:rPr>
                <w:t xml:space="preserve">нэгдсэн хүснэгтэд</w:t>
              </w:r>
            </w:hyperlink>
          </w:p>
        </w:tc>
      </w:tr>
      <w:tr>
        <w:trPr>
          <w:cantSplit/>
        </w:trPr>
        <w:tc>
          <w:tcPr>
            <w:tcW w:w="3370" w:type="dxa"/>
            <w:vAlign w:val="top"/>
          </w:tcPr>
          <w:p>
            <w:pPr>
              <w:pStyle w:val="TableText"/>
            </w:pPr>
            <w:r>
              <w:rPr>
                <w:sz w:val="18"/>
              </w:rPr>
              <w:t xml:space="preserve">UE-2 нэг хуудасны Scope Charter</w:t>
            </w:r>
          </w:p>
        </w:tc>
        <w:tc>
          <w:tcPr>
            <w:tcW w:w="2949" w:type="dxa"/>
            <w:vAlign w:val="top"/>
          </w:tcPr>
          <w:p>
            <w:pPr>
              <w:pStyle w:val="TableText"/>
            </w:pPr>
            <w:hyperlink r:id="rIdLink28">
              <w:r>
                <w:rPr>
                  <w:color w:val="176D91"/>
                  <w:u w:val="single"/>
                  <w:sz w:val="18"/>
                </w:rPr>
                <w:t xml:space="preserve">Scope Charter</w:t>
              </w:r>
            </w:hyperlink>
          </w:p>
        </w:tc>
        <w:tc>
          <w:tcPr>
            <w:tcW w:w="3545" w:type="dxa"/>
            <w:vAlign w:val="top"/>
          </w:tcPr>
          <w:p>
            <w:pPr>
              <w:pStyle w:val="TableText"/>
            </w:pPr>
            <w:r>
              <w:rPr>
                <w:sz w:val="18"/>
              </w:rPr>
              <w:t xml:space="preserve">Агуулга бэлэн; экспортод хуудасны хэмжээг шалгана</w:t>
            </w:r>
          </w:p>
        </w:tc>
      </w:tr>
      <w:tr>
        <w:trPr>
          <w:cantSplit/>
        </w:trPr>
        <w:tc>
          <w:tcPr>
            <w:tcW w:w="3370" w:type="dxa"/>
            <w:vAlign w:val="top"/>
            <w:shd w:fill="F6F9FA" w:val="clear"/>
          </w:tcPr>
          <w:p>
            <w:pPr>
              <w:pStyle w:val="TableText"/>
            </w:pPr>
            <w:r>
              <w:rPr>
                <w:sz w:val="18"/>
              </w:rPr>
              <w:t xml:space="preserve">Confluence Requirements хэсэгт нийтлэх</w:t>
            </w:r>
          </w:p>
        </w:tc>
        <w:tc>
          <w:tcPr>
            <w:tcW w:w="2949" w:type="dxa"/>
            <w:vAlign w:val="top"/>
            <w:shd w:fill="F6F9FA" w:val="clear"/>
          </w:tcPr>
          <w:p>
            <w:pPr>
              <w:pStyle w:val="TableText"/>
            </w:pPr>
            <w:r>
              <w:rPr>
                <w:sz w:val="18"/>
              </w:rPr>
              <w:t xml:space="preserve">Бодит workspace URL байхгүй</w:t>
            </w:r>
          </w:p>
        </w:tc>
        <w:tc>
          <w:tcPr>
            <w:tcW w:w="3545" w:type="dxa"/>
            <w:vAlign w:val="top"/>
            <w:shd w:fill="F6F9FA" w:val="clear"/>
          </w:tcPr>
          <w:p>
            <w:pPr>
              <w:pStyle w:val="TableText"/>
            </w:pPr>
            <w:r>
              <w:rPr>
                <w:sz w:val="18"/>
              </w:rPr>
              <w:t xml:space="preserve">Нийтлэсэн гэж тэмдэглээгүй</w:t>
            </w:r>
          </w:p>
        </w:tc>
      </w:tr>
      <w:tr>
        <w:trPr>
          <w:cantSplit/>
        </w:trPr>
        <w:tc>
          <w:tcPr>
            <w:tcW w:w="3370" w:type="dxa"/>
            <w:vAlign w:val="top"/>
          </w:tcPr>
          <w:p>
            <w:pPr>
              <w:pStyle w:val="TableText"/>
            </w:pPr>
            <w:r>
              <w:rPr>
                <w:sz w:val="18"/>
              </w:rPr>
              <w:t xml:space="preserve">Хөрш багт peer-review draft илгээх</w:t>
            </w:r>
          </w:p>
        </w:tc>
        <w:tc>
          <w:tcPr>
            <w:tcW w:w="2949" w:type="dxa"/>
            <w:vAlign w:val="top"/>
          </w:tcPr>
          <w:p>
            <w:pPr>
              <w:pStyle w:val="TableText"/>
            </w:pPr>
            <w:r>
              <w:rPr>
                <w:sz w:val="18"/>
              </w:rPr>
              <w:t xml:space="preserve">6-р хэсгийн багц ба ноорог</w:t>
            </w:r>
          </w:p>
        </w:tc>
        <w:tc>
          <w:tcPr>
            <w:tcW w:w="3545" w:type="dxa"/>
            <w:vAlign w:val="top"/>
          </w:tcPr>
          <w:p>
            <w:pPr>
              <w:pStyle w:val="TableText"/>
            </w:pPr>
            <w:r>
              <w:rPr>
                <w:sz w:val="18"/>
              </w:rPr>
              <w:t xml:space="preserve">Бэлтгэсэн; илгээсэн/хянасан нотолгоо хүлээгдэж байна</w:t>
            </w:r>
          </w:p>
        </w:tc>
      </w:tr>
    </w:tbl>
    <w:p>
      <w:pPr>
        <w:pStyle w:val="Gap"/>
      </w:pPr>
    </w:p>
    <w:p>
      <w:pPr>
        <w:pStyle w:val="Heading2"/>
      </w:pPr>
      <w:r>
        <w:rPr/>
        <w:t xml:space="preserve">8. Эргэцүүлэл ба W03-д шилжүүлэх нь</w:t>
      </w:r>
    </w:p>
    <w:p>
      <w:pPr>
        <w:pStyle w:val="Normal"/>
      </w:pPr>
      <w:r>
        <w:rPr/>
        <w:t xml:space="preserve"/>
      </w:r>
      <w:r>
        <w:rPr>
          <w:b/>
        </w:rPr>
        <w:t xml:space="preserve">Bhatti-гаас хэрэглэх зүйл:</w:t>
      </w:r>
      <w:r>
        <w:rPr/>
        <w:t xml:space="preserve"> Handout-ийн Ch. 2, pp. 23–44; Ch. 4, pp. 67–81 гэсэн чиглэл нь уншигчид хэрэгтэй хүрээг сонгох, шаардлагыг ойлгомжтой бичихэд тусалсан. “Зөвхөн өөрийн захиалгыг уншина” гэж бичээд зогсохын оронд хэн, ямар ID, ямар хариу авч болохыг шалгах procedure нэмэв.</w:t>
      </w:r>
    </w:p>
    <w:p>
      <w:pPr>
        <w:pStyle w:val="Normal"/>
      </w:pPr>
      <w:r>
        <w:rPr/>
        <w:t xml:space="preserve"/>
      </w:r>
      <w:r>
        <w:rPr>
          <w:b/>
        </w:rPr>
        <w:t xml:space="preserve">Chinchilla-гаас цааш хэрэглэх зүйл:</w:t>
      </w:r>
      <w:r>
        <w:rPr/>
        <w:t xml:space="preserve"> Ch. 5, pp. 53–55-ийн scoping чиглэлийг “одоо юу баталж болох вэ?” гэсэн асуултаар хэрэглэв. Төлөвлөсөн веб бүтээгдэхүүн, OpenAPI гэрээ, ажиллуулж болох Python жишээг тус тусын нотолгоотой хадгална.</w:t>
      </w:r>
    </w:p>
    <w:p>
      <w:pPr>
        <w:pStyle w:val="Normal"/>
      </w:pPr>
      <w:r>
        <w:rPr/>
        <w:t xml:space="preserve"/>
      </w:r>
      <w:r>
        <w:rPr>
          <w:b/>
        </w:rPr>
        <w:t xml:space="preserve">Онол ба одоогийн ажлын зөрүү:</w:t>
      </w:r>
      <w:r>
        <w:rPr/>
        <w:t xml:space="preserve"> Owner/interview болон peer review шаардлагатай ч одоогийн хавсралтад тэдгээрийн бодит үр дүн байхгүй. Иймээс зохиомол дүр, санал болгосон үүрэг, гүйцэтгээгүй test procedure-ийг баталгаажсан үр дүнтэй адил тэмдэглэхээс зайлсхийв.</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836"/>
        <w:gridCol w:w="6028"/>
      </w:tblGrid>
      <w:tr>
        <w:trPr>
          <w:cantSplit/>
          <w:tblHeader/>
        </w:trPr>
        <w:tc>
          <w:tcPr>
            <w:tcW w:w="3836" w:type="dxa"/>
            <w:vAlign w:val="top"/>
            <w:shd w:fill="E5EFEC" w:val="clear"/>
          </w:tcPr>
          <w:p>
            <w:pPr>
              <w:pStyle w:val="TableText"/>
            </w:pPr>
            <w:r>
              <w:rPr>
                <w:b/>
                <w:sz w:val="18"/>
              </w:rPr>
              <w:t xml:space="preserve">Standup / retrospective асуулт</w:t>
            </w:r>
          </w:p>
        </w:tc>
        <w:tc>
          <w:tcPr>
            <w:tcW w:w="6028" w:type="dxa"/>
            <w:vAlign w:val="top"/>
            <w:shd w:fill="E5EFEC" w:val="clear"/>
          </w:tcPr>
          <w:p>
            <w:pPr>
              <w:pStyle w:val="TableText"/>
            </w:pPr>
            <w:r>
              <w:rPr>
                <w:b/>
                <w:sz w:val="18"/>
              </w:rPr>
              <w:t xml:space="preserve">Энэ шинэчлэлийн хариу</w:t>
            </w:r>
          </w:p>
        </w:tc>
      </w:tr>
      <w:tr>
        <w:trPr>
          <w:cantSplit/>
        </w:trPr>
        <w:tc>
          <w:tcPr>
            <w:tcW w:w="3836" w:type="dxa"/>
            <w:vAlign w:val="top"/>
          </w:tcPr>
          <w:p>
            <w:pPr>
              <w:pStyle w:val="TableText"/>
            </w:pPr>
            <w:r>
              <w:rPr>
                <w:sz w:val="18"/>
              </w:rPr>
              <w:t xml:space="preserve">Ямар IEEE хэсгийг зурагласан бэ?</w:t>
            </w:r>
          </w:p>
        </w:tc>
        <w:tc>
          <w:tcPr>
            <w:tcW w:w="6028" w:type="dxa"/>
            <w:vAlign w:val="top"/>
          </w:tcPr>
          <w:p>
            <w:pPr>
              <w:pStyle w:val="TableText"/>
            </w:pPr>
            <w:r>
              <w:rPr>
                <w:sz w:val="18"/>
              </w:rPr>
              <w:t xml:space="preserve">Зорилго, scope, overall description, interfaces, FR/NFR, constraints, appendix.</w:t>
            </w:r>
          </w:p>
        </w:tc>
      </w:tr>
      <w:tr>
        <w:trPr>
          <w:cantSplit/>
        </w:trPr>
        <w:tc>
          <w:tcPr>
            <w:tcW w:w="3836" w:type="dxa"/>
            <w:vAlign w:val="top"/>
            <w:shd w:fill="F6F9FA" w:val="clear"/>
          </w:tcPr>
          <w:p>
            <w:pPr>
              <w:pStyle w:val="TableText"/>
            </w:pPr>
            <w:r>
              <w:rPr>
                <w:sz w:val="18"/>
              </w:rPr>
              <w:t xml:space="preserve">Traceability-д хэдэн шаардлага байна вэ?</w:t>
            </w:r>
          </w:p>
        </w:tc>
        <w:tc>
          <w:tcPr>
            <w:tcW w:w="6028" w:type="dxa"/>
            <w:vAlign w:val="top"/>
            <w:shd w:fill="F6F9FA" w:val="clear"/>
          </w:tcPr>
          <w:p>
            <w:pPr>
              <w:pStyle w:val="TableText"/>
            </w:pPr>
            <w:r>
              <w:rPr>
                <w:sz w:val="18"/>
              </w:rPr>
              <w:t xml:space="preserve">W02 жишээнд 5; бүгд 8 баганатай.</w:t>
            </w:r>
          </w:p>
        </w:tc>
      </w:tr>
      <w:tr>
        <w:trPr>
          <w:cantSplit/>
        </w:trPr>
        <w:tc>
          <w:tcPr>
            <w:tcW w:w="3836" w:type="dxa"/>
            <w:vAlign w:val="top"/>
          </w:tcPr>
          <w:p>
            <w:pPr>
              <w:pStyle w:val="TableText"/>
            </w:pPr>
            <w:r>
              <w:rPr>
                <w:sz w:val="18"/>
              </w:rPr>
              <w:t xml:space="preserve">Ямар persona холбоо нэмсэн бэ?</w:t>
            </w:r>
          </w:p>
        </w:tc>
        <w:tc>
          <w:tcPr>
            <w:tcW w:w="6028" w:type="dxa"/>
            <w:vAlign w:val="top"/>
          </w:tcPr>
          <w:p>
            <w:pPr>
              <w:pStyle w:val="TableText"/>
            </w:pPr>
            <w:r>
              <w:rPr>
                <w:sz w:val="18"/>
              </w:rPr>
              <w:t xml:space="preserve">FR-04 → </w:t>
            </w:r>
            <w:r>
              <w:rPr>
                <w:rFonts w:ascii="Consolas" w:hAnsi="Consolas" w:cs="Consolas"/>
                <w:shd w:fill="F0F5F3" w:val="clear"/>
                <w:sz w:val="18"/>
              </w:rPr>
              <w:t xml:space="preserve">P-ANU-02</w:t>
            </w:r>
            <w:r>
              <w:rPr>
                <w:sz w:val="18"/>
              </w:rPr>
              <w:t xml:space="preserve">; NFR-03 → </w:t>
            </w:r>
            <w:r>
              <w:rPr>
                <w:rFonts w:ascii="Consolas" w:hAnsi="Consolas" w:cs="Consolas"/>
                <w:shd w:fill="F0F5F3" w:val="clear"/>
                <w:sz w:val="18"/>
              </w:rPr>
              <w:t xml:space="preserve">P-ANU-01</w:t>
            </w:r>
            <w:r>
              <w:rPr>
                <w:sz w:val="18"/>
              </w:rPr>
              <w:t xml:space="preserve">.</w:t>
            </w:r>
          </w:p>
        </w:tc>
      </w:tr>
      <w:tr>
        <w:trPr>
          <w:cantSplit/>
        </w:trPr>
        <w:tc>
          <w:tcPr>
            <w:tcW w:w="3836" w:type="dxa"/>
            <w:vAlign w:val="top"/>
            <w:shd w:fill="F6F9FA" w:val="clear"/>
          </w:tcPr>
          <w:p>
            <w:pPr>
              <w:pStyle w:val="TableText"/>
            </w:pPr>
            <w:r>
              <w:rPr>
                <w:sz w:val="18"/>
              </w:rPr>
              <w:t xml:space="preserve">Юу сайн болсон бэ?</w:t>
            </w:r>
          </w:p>
        </w:tc>
        <w:tc>
          <w:tcPr>
            <w:tcW w:w="6028" w:type="dxa"/>
            <w:vAlign w:val="top"/>
            <w:shd w:fill="F6F9FA" w:val="clear"/>
          </w:tcPr>
          <w:p>
            <w:pPr>
              <w:pStyle w:val="TableText"/>
            </w:pPr>
            <w:r>
              <w:rPr>
                <w:sz w:val="18"/>
              </w:rPr>
              <w:t xml:space="preserve">Шаардлага ба хэрэгжүүлэх шийдэл, procedure ба test result-ийг ялгасан.</w:t>
            </w:r>
          </w:p>
        </w:tc>
      </w:tr>
      <w:tr>
        <w:trPr>
          <w:cantSplit/>
        </w:trPr>
        <w:tc>
          <w:tcPr>
            <w:tcW w:w="3836" w:type="dxa"/>
            <w:vAlign w:val="top"/>
          </w:tcPr>
          <w:p>
            <w:pPr>
              <w:pStyle w:val="TableText"/>
            </w:pPr>
            <w:r>
              <w:rPr>
                <w:sz w:val="18"/>
              </w:rPr>
              <w:t xml:space="preserve">Юу тодорхойгүй байсан бэ?</w:t>
            </w:r>
          </w:p>
        </w:tc>
        <w:tc>
          <w:tcPr>
            <w:tcW w:w="6028" w:type="dxa"/>
            <w:vAlign w:val="top"/>
          </w:tcPr>
          <w:p>
            <w:pPr>
              <w:pStyle w:val="TableText"/>
            </w:pPr>
            <w:r>
              <w:rPr>
                <w:sz w:val="18"/>
              </w:rPr>
              <w:t xml:space="preserve">LCP хэмжих орчин, давтан хүсэлтийн код, owner-ийн баталгаа.</w:t>
            </w:r>
          </w:p>
        </w:tc>
      </w:tr>
      <w:tr>
        <w:trPr>
          <w:cantSplit/>
        </w:trPr>
        <w:tc>
          <w:tcPr>
            <w:tcW w:w="3836" w:type="dxa"/>
            <w:vAlign w:val="top"/>
            <w:shd w:fill="F6F9FA" w:val="clear"/>
          </w:tcPr>
          <w:p>
            <w:pPr>
              <w:pStyle w:val="TableText"/>
            </w:pPr>
            <w:r>
              <w:rPr>
                <w:sz w:val="18"/>
              </w:rPr>
              <w:t xml:space="preserve">Дараа юу өөрчлөх вэ?</w:t>
            </w:r>
          </w:p>
        </w:tc>
        <w:tc>
          <w:tcPr>
            <w:tcW w:w="6028" w:type="dxa"/>
            <w:vAlign w:val="top"/>
            <w:shd w:fill="F6F9FA" w:val="clear"/>
          </w:tcPr>
          <w:p>
            <w:pPr>
              <w:pStyle w:val="TableText"/>
            </w:pPr>
            <w:r>
              <w:rPr>
                <w:sz w:val="18"/>
              </w:rPr>
              <w:t xml:space="preserve">W03-ийн бүрэн багцад хамаарал, edge case, owner, interview/peer review-ийн бодит нотолгоог нэмнэ.</w:t>
            </w:r>
          </w:p>
        </w:tc>
      </w:tr>
    </w:tbl>
    <w:p>
      <w:pPr>
        <w:pStyle w:val="Gap"/>
      </w:pPr>
    </w:p>
    <w:p>
      <w:pPr>
        <w:pStyle w:val="Normal"/>
      </w:pPr>
      <w:r>
        <w:rPr/>
        <w:t xml:space="preserve">Энэ нь шинэчлэлийн өөрийн үнэлгээ; бодит standup эсвэл retrospective уулзалт хийсэн тухай тэмдэглэл биш. SRS нь систем </w:t>
      </w:r>
      <w:r>
        <w:rPr>
          <w:b/>
        </w:rPr>
        <w:t xml:space="preserve">юу хийхийг</w:t>
      </w:r>
      <w:r>
        <w:rPr/>
        <w:t xml:space="preserve">, </w:t>
      </w:r>
      <w:hyperlink r:id="rIdLink29">
        <w:r>
          <w:rPr>
            <w:color w:val="176D91"/>
            <w:u w:val="single"/>
          </w:rPr>
          <w:t xml:space="preserve">архитектур</w:t>
        </w:r>
      </w:hyperlink>
      <w:r>
        <w:rPr/>
        <w:t xml:space="preserve"> нь түүнийг </w:t>
      </w:r>
      <w:r>
        <w:rPr>
          <w:b/>
        </w:rPr>
        <w:t xml:space="preserve">яагаад, ямар хэсгүүдээр хэрэгжүүлэхийг</w:t>
      </w:r>
      <w:r>
        <w:rPr/>
        <w:t xml:space="preserve"> тайлбарлана. “Давтан хүсэлт шинэ захиалга үүсгэхгүй” гэдэг нь шаардлага; түүнийг Redis, database constraint эсвэл өөр механизмаар хэрэгжүүлэх нь тусдаа шийдвэр юм.</w:t>
      </w:r>
    </w:p>
    <w:p>
      <w:pPr>
        <w:pStyle w:val="Heading2"/>
      </w:pPr>
      <w:r>
        <w:rPr/>
        <w:t xml:space="preserve">Эх сурвалж</w:t>
      </w:r>
    </w:p>
    <w:p>
      <w:pPr>
        <w:pStyle w:val="Normal"/>
        <w:ind w:left="240" w:hanging="160"/>
      </w:pPr>
      <w:r>
        <w:rPr/>
        <w:t xml:space="preserve">• </w:t>
      </w:r>
      <w:r>
        <w:rPr/>
        <w:t xml:space="preserve">Хавсаргасан Week 02 handout: </w:t>
      </w:r>
      <w:r>
        <w:rPr>
          <w:rFonts w:ascii="Consolas" w:hAnsi="Consolas" w:cs="Consolas"/>
          <w:shd w:fill="F0F5F3" w:val="clear"/>
        </w:rPr>
        <w:t xml:space="preserve">US-2.1</w:t>
      </w:r>
      <w:r>
        <w:rPr/>
        <w:t xml:space="preserve">–</w:t>
      </w:r>
      <w:r>
        <w:rPr>
          <w:rFonts w:ascii="Consolas" w:hAnsi="Consolas" w:cs="Consolas"/>
          <w:shd w:fill="F0F5F3" w:val="clear"/>
        </w:rPr>
        <w:t xml:space="preserve">US-2.3</w:t>
      </w:r>
      <w:r>
        <w:rPr/>
        <w:t xml:space="preserve">, Definition of Done, UE-2, reflection.</w:t>
      </w:r>
    </w:p>
    <w:p>
      <w:pPr>
        <w:pStyle w:val="Normal"/>
        <w:ind w:left="240" w:hanging="160"/>
      </w:pPr>
      <w:r>
        <w:rPr/>
        <w:t xml:space="preserve">• </w:t>
      </w:r>
      <w:r>
        <w:rPr>
          <w:rFonts w:ascii="Consolas" w:hAnsi="Consolas" w:cs="Consolas"/>
          <w:shd w:fill="F0F5F3" w:val="clear"/>
        </w:rPr>
        <w:t xml:space="preserve">Week_02_FoodFlow.docx</w:t>
      </w:r>
      <w:r>
        <w:rPr/>
        <w:t xml:space="preserve">: scope, эхний таван requirement, найман баганатай matrix-ийн эх.</w:t>
      </w:r>
    </w:p>
    <w:p>
      <w:pPr>
        <w:pStyle w:val="Normal"/>
        <w:ind w:left="240" w:hanging="160"/>
      </w:pPr>
      <w:r>
        <w:rPr/>
        <w:t xml:space="preserve">• </w:t>
      </w:r>
      <w:r>
        <w:rPr>
          <w:rFonts w:ascii="Consolas" w:hAnsi="Consolas" w:cs="Consolas"/>
          <w:shd w:fill="F0F5F3" w:val="clear"/>
        </w:rPr>
        <w:t xml:space="preserve">Week_03_FoodFlow.docx</w:t>
      </w:r>
      <w:r>
        <w:rPr/>
        <w:t xml:space="preserve">: W02-ийн ID-ийн утгыг дараагийн суурьтай тулгахад ашигласан.</w:t>
      </w:r>
    </w:p>
    <w:p>
      <w:pPr>
        <w:pStyle w:val="Normal"/>
        <w:ind w:left="240" w:hanging="160"/>
      </w:pPr>
      <w:r>
        <w:rPr/>
        <w:t xml:space="preserve">• </w:t>
      </w:r>
      <w:r>
        <w:rPr/>
        <w:t xml:space="preserve">Bhatti et al., </w:t>
      </w:r>
      <w:r>
        <w:rPr>
          <w:i/>
        </w:rPr>
        <w:t xml:space="preserve">Docs for Developers</w:t>
      </w:r>
      <w:r>
        <w:rPr/>
        <w:t xml:space="preserve"> (2021), Ch. 2, 4, 9; Chinchilla, </w:t>
      </w:r>
      <w:r>
        <w:rPr>
          <w:i/>
        </w:rPr>
        <w:t xml:space="preserve">Tech Writing for Developers</w:t>
      </w:r>
      <w:r>
        <w:rPr/>
        <w:t xml:space="preserve"> (2024), Ch. 2, 5 — бүлэг, хуудасны заалтыг handout-аас авсан.</w:t>
      </w:r>
    </w:p>
    <w:p>
      <w:pPr>
        <w:pStyle w:val="Normal"/>
        <w:ind w:left="240" w:hanging="160"/>
      </w:pPr>
      <w:r>
        <w:rPr/>
        <w:t xml:space="preserve">• </w:t>
      </w:r>
      <w:hyperlink r:id="rIdLink30">
        <w:r>
          <w:rPr>
            <w:color w:val="176D91"/>
            <w:u w:val="single"/>
          </w:rPr>
          <w:t xml:space="preserve">IEEE 830-1998 албан бүртгэл</w:t>
        </w:r>
      </w:hyperlink>
      <w:r>
        <w:rPr/>
        <w:t xml:space="preserve">, </w:t>
      </w:r>
      <w:hyperlink r:id="rIdLink31">
        <w:r>
          <w:rPr>
            <w:color w:val="176D91"/>
            <w:u w:val="single"/>
          </w:rPr>
          <w:t xml:space="preserve">ISO/IEC/IEEE 29148:2018 албан бүртгэл</w:t>
        </w:r>
      </w:hyperlink>
      <w:r>
        <w:rPr/>
        <w:t xml:space="preserve">, </w:t>
      </w:r>
      <w:hyperlink r:id="rIdLink32">
        <w:r>
          <w:rPr>
            <w:color w:val="176D91"/>
            <w:u w:val="single"/>
          </w:rPr>
          <w:t xml:space="preserve">web.dev: LCP</w:t>
        </w:r>
      </w:hyperlink>
      <w:r>
        <w:rPr/>
        <w:t xml:space="preserve"> — 2026-10-13-нд шалгасан primary эхүүд.</w:t>
      </w:r>
    </w:p>
    <w:p>
      <w:pPr>
        <w:pStyle w:val="Normal"/>
      </w:pPr>
      <w:r>
        <w:rPr/>
        <w:t xml:space="preserve">Өмнөх ажил: </w:t>
      </w:r>
      <w:hyperlink r:id="rIdLink33">
        <w:r>
          <w:rPr>
            <w:color w:val="176D91"/>
            <w:u w:val="single"/>
          </w:rPr>
          <w:t xml:space="preserve">W01</w:t>
        </w:r>
      </w:hyperlink>
      <w:r>
        <w:rPr/>
        <w:t xml:space="preserve">. Дараагийн ажил: </w:t>
      </w:r>
      <w:hyperlink r:id="rIdLink34">
        <w:r>
          <w:rPr>
            <w:color w:val="176D91"/>
            <w:u w:val="single"/>
          </w:rPr>
          <w:t xml:space="preserve">W03 — бүрэн SRS</w:t>
        </w:r>
      </w:hyperlink>
      <w:r>
        <w:rPr/>
        <w:t xml:space="preserve">.</w:t>
      </w:r>
    </w:p>
    <w:sectPr>
      <w:footerReference w:type="default" r:id="rIdFooter"/>
      <w:headerReference w:type="default" r:id="rIdHeader"/>
      <w:type w:val="nextPage"/>
      <w:pgSz w:w="11906" w:h="16838" w:orient="portrait"/>
      <w:pgMar w:top="1021" w:right="1021" w:bottom="1021" w:left="1021" w:header="400" w:footer="400" w:gutter="0"/>
    </w:sectPr>
  </w:body>
</w:document>
</file>

<file path=word/footer1.xml><?xml version="1.0" encoding="utf-8"?>
<w:ftr xmlns:w="http://schemas.openxmlformats.org/wordprocessingml/2006/main">
  <w:p>
    <w:pPr>
      <w:pStyle w:val="Footer"/>
    </w:pPr>
    <w:r>
      <w:rPr/>
      <w:t xml:space="preserve">FoodFlow · 2026-10-13 · </w:t>
    </w:r>
    <w:fldSimple w:instr="PAGE">
      <w:r>
        <w:rPr/>
        <w:t xml:space="preserve">1</w:t>
      </w:r>
    </w:fldSimple>
  </w:p>
</w:ftr>
</file>

<file path=word/header1.xml><?xml version="1.0" encoding="utf-8"?>
<w:hdr xmlns:w="http://schemas.openxmlformats.org/wordprocessingml/2006/main">
  <w:p>
    <w:pPr>
      <w:pStyle w:val="Footer"/>
    </w:pPr>
    <w:r>
      <w:rPr/>
      <w:t xml:space="preserve">FOODFLOW / SOFTWARE PROJECT DOCUMENTATION</w:t>
    </w:r>
  </w:p>
</w:hdr>
</file>

<file path=word/settings.xml><?xml version="1.0" encoding="utf-8"?>
<w:settings xmlns:w="http://schemas.openxmlformats.org/wordprocessingml/2006/main">
  <w:updateFields w:val="true"/>
  <w:defaultTabStop w:val="360"/>
</w:settings>
</file>

<file path=word/styles.xml><?xml version="1.0" encoding="utf-8"?>
<w:styles xmlns:w="http://schemas.openxmlformats.org/wordprocessingml/2006/main">
  <w:docDefaults>
    <w:rPrDefault>
      <w:rPr>
        <w:rFonts w:ascii="Arial" w:hAnsi="Arial" w:cs="Arial" w:eastAsia="Arial"/>
        <w:lang w:val="mn-MN"/>
        <w:sz w:val="21"/>
        <w:color w:val="18334A"/>
      </w:rPr>
    </w:rPrDefault>
  </w:docDefaults>
  <w:style w:type="paragraph" w:styleId="Normal" w:default="1">
    <w:name w:val="Normal"/>
    <w:pPr>
      <w:spacing w:before="0" w:after="85" w:line="280" w:lineRule="auto"/>
      <w:widowControl/>
    </w:pPr>
    <w:rPr>
      <w:sz w:val="21"/>
    </w:rPr>
  </w:style>
  <w:style w:type="paragraph" w:styleId="Title">
    <w:name w:val="Title"/>
    <w:basedOn w:val="Normal"/>
    <w:pPr>
      <w:spacing w:before="0" w:after="160" w:line="780" w:lineRule="auto"/>
      <w:widowControl/>
    </w:pPr>
    <w:rPr>
      <w:sz w:val="68"/>
      <w:b/>
    </w:rPr>
  </w:style>
  <w:style w:type="paragraph" w:styleId="Subtitle">
    <w:name w:val="Subtitle"/>
    <w:basedOn w:val="Normal"/>
    <w:pPr>
      <w:spacing w:before="0" w:after="180" w:line="500" w:lineRule="auto"/>
      <w:widowControl/>
    </w:pPr>
    <w:rPr>
      <w:sz w:val="40"/>
    </w:rPr>
  </w:style>
  <w:style w:type="paragraph" w:styleId="TableText">
    <w:name w:val="TableText"/>
    <w:basedOn w:val="Normal"/>
    <w:pPr>
      <w:spacing w:before="0" w:after="0" w:line="230" w:lineRule="auto"/>
      <w:widowControl/>
    </w:pPr>
    <w:rPr>
      <w:sz w:val="18"/>
    </w:rPr>
  </w:style>
  <w:style w:type="paragraph" w:styleId="Caption">
    <w:name w:val="Caption"/>
    <w:basedOn w:val="Normal"/>
    <w:pPr>
      <w:spacing w:before="0" w:after="90" w:line="210" w:lineRule="auto"/>
      <w:widowControl/>
    </w:pPr>
    <w:rPr>
      <w:sz w:val="16"/>
    </w:rPr>
  </w:style>
  <w:style w:type="paragraph" w:styleId="Code">
    <w:name w:val="Code"/>
    <w:basedOn w:val="Normal"/>
    <w:pPr>
      <w:spacing w:before="0" w:after="120" w:line="210" w:lineRule="auto"/>
      <w:widowControl/>
      <w:shd w:fill="F4F7F8" w:val="clear"/>
      <w:ind w:left="140" w:right="140"/>
    </w:pPr>
    <w:rPr>
      <w:sz w:val="16"/>
      <w:rFonts w:ascii="Consolas" w:hAnsi="Consolas" w:cs="Consolas"/>
    </w:rPr>
  </w:style>
  <w:style w:type="paragraph" w:styleId="Quote">
    <w:name w:val="Quote"/>
    <w:basedOn w:val="Normal"/>
    <w:pPr>
      <w:spacing w:before="0" w:after="120" w:line="260" w:lineRule="auto"/>
      <w:widowControl/>
      <w:shd w:fill="F4F7F8" w:val="clear"/>
      <w:ind w:left="140" w:right="140"/>
    </w:pPr>
    <w:rPr>
      <w:sz w:val="20"/>
    </w:rPr>
  </w:style>
  <w:style w:type="paragraph" w:styleId="Gap">
    <w:name w:val="Gap"/>
    <w:basedOn w:val="Normal"/>
    <w:pPr>
      <w:spacing w:before="0" w:after="70" w:line="40" w:lineRule="auto"/>
      <w:widowControl/>
    </w:pPr>
    <w:rPr>
      <w:sz w:val="4"/>
    </w:rPr>
  </w:style>
  <w:style w:type="paragraph" w:styleId="Footer">
    <w:name w:val="Footer"/>
    <w:basedOn w:val="Normal"/>
    <w:pPr>
      <w:spacing w:before="0" w:after="0" w:line="180" w:lineRule="auto"/>
      <w:widowControl/>
    </w:pPr>
    <w:rPr>
      <w:sz w:val="16"/>
    </w:rPr>
  </w:style>
  <w:style w:type="paragraph" w:styleId="Heading1">
    <w:name w:val="Heading1"/>
    <w:basedOn w:val="Normal"/>
    <w:pPr>
      <w:spacing w:before="0" w:after="115" w:line="494" w:lineRule="auto"/>
      <w:widowControl/>
      <w:keepNext/>
      <w:outlineLvl w:val="0"/>
    </w:pPr>
    <w:rPr>
      <w:sz w:val="38"/>
      <w:b/>
    </w:rPr>
  </w:style>
  <w:style w:type="paragraph" w:styleId="Heading2">
    <w:name w:val="Heading2"/>
    <w:basedOn w:val="Normal"/>
    <w:pPr>
      <w:spacing w:before="140" w:after="115" w:line="351" w:lineRule="auto"/>
      <w:widowControl/>
      <w:keepNext/>
      <w:outlineLvl w:val="1"/>
    </w:pPr>
    <w:rPr>
      <w:sz w:val="27"/>
      <w:b/>
    </w:rPr>
  </w:style>
  <w:style w:type="paragraph" w:styleId="Heading3">
    <w:name w:val="Heading3"/>
    <w:basedOn w:val="Normal"/>
    <w:pPr>
      <w:spacing w:before="140" w:after="115" w:line="299" w:lineRule="auto"/>
      <w:widowControl/>
      <w:keepNext/>
      <w:outlineLvl w:val="2"/>
    </w:pPr>
    <w:rPr>
      <w:sz w:val="23"/>
      <w:b/>
    </w:rPr>
  </w:style>
  <w:style w:type="paragraph" w:styleId="Heading4">
    <w:name w:val="Heading4"/>
    <w:basedOn w:val="Normal"/>
    <w:pPr>
      <w:spacing w:before="140" w:after="115" w:line="273" w:lineRule="auto"/>
      <w:widowControl/>
      <w:keepNext/>
      <w:outlineLvl w:val="3"/>
    </w:pPr>
    <w:rPr>
      <w:sz w:val="21"/>
      <w:b/>
    </w:rPr>
  </w:style>
  <w:style w:type="paragraph" w:styleId="Heading5">
    <w:name w:val="Heading5"/>
    <w:basedOn w:val="Normal"/>
    <w:pPr>
      <w:spacing w:before="140" w:after="115" w:line="273" w:lineRule="auto"/>
      <w:widowControl/>
      <w:keepNext/>
      <w:outlineLvl w:val="4"/>
    </w:pPr>
    <w:rPr>
      <w:sz w:val="21"/>
      <w:b/>
    </w:rPr>
  </w:style>
  <w:style w:type="paragraph" w:styleId="Heading6">
    <w:name w:val="Heading6"/>
    <w:basedOn w:val="Normal"/>
    <w:pPr>
      <w:spacing w:before="140" w:after="115" w:line="273" w:lineRule="auto"/>
      <w:widowControl/>
      <w:keepNext/>
      <w:outlineLvl w:val="5"/>
    </w:pPr>
    <w:rPr>
      <w:sz w:val="21"/>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 Id="rIdHeader" Type="http://schemas.openxmlformats.org/officeDocument/2006/relationships/header" Target="header1.xml" /><Relationship Id="rIdLink1" Type="http://schemas.openxmlformats.org/officeDocument/2006/relationships/hyperlink" Target="https://github.com/Tuguldur0222/foodflow-documentation/blob/main/sources/README.md" TargetMode="External" /><Relationship Id="rIdLink2" Type="http://schemas.openxmlformats.org/officeDocument/2006/relationships/hyperlink" Target="https://github.com/Tuguldur0222/foodflow-documentation/blob/main/sources/manifest.json" TargetMode="External" /><Relationship Id="rIdLink3" Type="http://schemas.openxmlformats.org/officeDocument/2006/relationships/hyperlink" Target="https://github.com/Tuguldur0222/foodflow-documentation/blob/main/docs/semesters/week-01.md" TargetMode="External" /><Relationship Id="rIdLink4" Type="http://schemas.openxmlformats.org/officeDocument/2006/relationships/hyperlink" Target="https://github.com/Tuguldur0222/foodflow-documentation/blob/main/docs/audience/personas.md" TargetMode="External" /><Relationship Id="rIdLink5" Type="http://schemas.openxmlformats.org/officeDocument/2006/relationships/hyperlink" Target="https://github.com/Tuguldur0222/foodflow-documentation/blob/main/docs/semesters/week-03.md" TargetMode="External" /><Relationship Id="rIdLink6" Type="http://schemas.openxmlformats.org/officeDocument/2006/relationships/hyperlink" Target="https://github.com/Tuguldur0222/foodflow-documentation/blob/main/docs/requirements/srs.md" TargetMode="External" /><Relationship Id="rIdLink7" Type="http://schemas.openxmlformats.org/officeDocument/2006/relationships/hyperlink" Target="https://github.com/Tuguldur0222/foodflow-documentation/blob/main/docs/requirements/traceability.md" TargetMode="External" /><Relationship Id="rIdLink8" Type="http://schemas.openxmlformats.org/officeDocument/2006/relationships/hyperlink" Target="https://github.com/Tuguldur0222/foodflow-documentation/blob/main/docs/requirements/scope.md" TargetMode="External" /><Relationship Id="rIdLink9" Type="http://schemas.openxmlformats.org/officeDocument/2006/relationships/hyperlink" Target="https://github.com/Tuguldur0222/foodflow-documentation/blob/main/docs/architecture/index.md" TargetMode="External" /><Relationship Id="rIdLink10" Type="http://schemas.openxmlformats.org/officeDocument/2006/relationships/hyperlink" Target="https://github.com/Tuguldur0222/foodflow-documentation/blob/main/docs/requirements/scope.md" TargetMode="External" /><Relationship Id="rIdLink11" Type="http://schemas.openxmlformats.org/officeDocument/2006/relationships/hyperlink" Target="https://github.com/Tuguldur0222/foodflow-documentation/blob/main/docs/requirements/srs.md" TargetMode="External" /><Relationship Id="rIdLink12" Type="http://schemas.openxmlformats.org/officeDocument/2006/relationships/hyperlink" Target="https://github.com/Tuguldur0222/foodflow-documentation/blob/main/docs/architecture/index.md" TargetMode="External" /><Relationship Id="rIdLink13" Type="http://schemas.openxmlformats.org/officeDocument/2006/relationships/hyperlink" Target="https://github.com/Tuguldur0222/foodflow-documentation/blob/main/docs/audience/personas.md" TargetMode="External" /><Relationship Id="rIdLink14" Type="http://schemas.openxmlformats.org/officeDocument/2006/relationships/hyperlink" Target="https://standards.ieee.org/ieee/830/1222/" TargetMode="External" /><Relationship Id="rIdLink15" Type="http://schemas.openxmlformats.org/officeDocument/2006/relationships/hyperlink" Target="https://www.iso.org/standard/72089.html" TargetMode="External" /><Relationship Id="rIdLink16" Type="http://schemas.openxmlformats.org/officeDocument/2006/relationships/hyperlink" Target="https://github.com/Tuguldur0222/foodflow-documentation/blob/main/docs/requirements/srs.md" TargetMode="External" /><Relationship Id="rIdLink17" Type="http://schemas.openxmlformats.org/officeDocument/2006/relationships/hyperlink" Target="https://web.dev/articles/lcp" TargetMode="External" /><Relationship Id="rIdLink18" Type="http://schemas.openxmlformats.org/officeDocument/2006/relationships/hyperlink" Target="https://github.com/Tuguldur0222/foodflow-documentation/blob/main/docs/requirements/traceability.md" TargetMode="External" /><Relationship Id="rIdLink19" Type="http://schemas.openxmlformats.org/officeDocument/2006/relationships/hyperlink" Target="https://github.com/Tuguldur0222/foodflow-documentation/blob/main/docs/requirements/srs.md" TargetMode="External" /><Relationship Id="rIdLink20" Type="http://schemas.openxmlformats.org/officeDocument/2006/relationships/hyperlink" Target="https://github.com/Tuguldur0222/foodflow-documentation/blob/main/docs/audience/personas.md" TargetMode="External" /><Relationship Id="rIdLink21" Type="http://schemas.openxmlformats.org/officeDocument/2006/relationships/hyperlink" Target="https://github.com/Tuguldur0222/foodflow-documentation/blob/main/docs/requirements/srs.md" TargetMode="External" /><Relationship Id="rIdLink22" Type="http://schemas.openxmlformats.org/officeDocument/2006/relationships/hyperlink" Target="https://github.com/Tuguldur0222/foodflow-documentation/blob/main/docs/requirements/srs.md" TargetMode="External" /><Relationship Id="rIdLink23" Type="http://schemas.openxmlformats.org/officeDocument/2006/relationships/hyperlink" Target="https://github.com/Tuguldur0222/foodflow-documentation/blob/main/docs/requirements/srs.md" TargetMode="External" /><Relationship Id="rIdLink24" Type="http://schemas.openxmlformats.org/officeDocument/2006/relationships/hyperlink" Target="https://web.dev/articles/lcp" TargetMode="External" /><Relationship Id="rIdLink25" Type="http://schemas.openxmlformats.org/officeDocument/2006/relationships/hyperlink" Target="https://github.com/Tuguldur0222/foodflow-documentation/blob/main/docs/requirements/srs.md" TargetMode="External" /><Relationship Id="rIdLink26" Type="http://schemas.openxmlformats.org/officeDocument/2006/relationships/hyperlink" Target="https://github.com/Tuguldur0222/foodflow-documentation/blob/main/docs/requirements/scope.md" TargetMode="External" /><Relationship Id="rIdLink27" Type="http://schemas.openxmlformats.org/officeDocument/2006/relationships/hyperlink" Target="https://github.com/Tuguldur0222/foodflow-documentation/blob/main/docs/requirements/traceability.md" TargetMode="External" /><Relationship Id="rIdLink28" Type="http://schemas.openxmlformats.org/officeDocument/2006/relationships/hyperlink" Target="https://github.com/Tuguldur0222/foodflow-documentation/blob/main/docs/requirements/scope.md" TargetMode="External" /><Relationship Id="rIdLink29" Type="http://schemas.openxmlformats.org/officeDocument/2006/relationships/hyperlink" Target="https://github.com/Tuguldur0222/foodflow-documentation/blob/main/docs/architecture/index.md" TargetMode="External" /><Relationship Id="rIdLink30" Type="http://schemas.openxmlformats.org/officeDocument/2006/relationships/hyperlink" Target="https://standards.ieee.org/ieee/830/1222/" TargetMode="External" /><Relationship Id="rIdLink31" Type="http://schemas.openxmlformats.org/officeDocument/2006/relationships/hyperlink" Target="https://www.iso.org/standard/72089.html" TargetMode="External" /><Relationship Id="rIdLink32" Type="http://schemas.openxmlformats.org/officeDocument/2006/relationships/hyperlink" Target="https://web.dev/articles/lcp" TargetMode="External" /><Relationship Id="rIdLink33" Type="http://schemas.openxmlformats.org/officeDocument/2006/relationships/hyperlink" Target="https://github.com/Tuguldur0222/foodflow-documentation/blob/main/docs/semesters/week-01.md" TargetMode="External" /><Relationship Id="rIdLink34" Type="http://schemas.openxmlformats.org/officeDocument/2006/relationships/hyperlink" Target="https://github.com/Tuguldur0222/foodflow-documentation/blob/main/docs/semesters/week-03.md" TargetMode="External" /></Relationships>
</file>

<file path=docProps/core.xml><?xml version="1.0" encoding="utf-8"?>
<cp:coreProperties xmlns:cp="http://schemas.openxmlformats.org/package/2006/metadata/core-properties" xmlns:dc="http://purl.org/dc/elements/1.1/">
  <dc:title>W02 — SRS-ийн хамрах хүрээ ба мөрдөх холбоо</dc:title>
  <dc:creator>Ю. Төгөлдөр · 23B1NUM2350</dc:creator>
  <dc:description>Editable export from canonical FoodFlow Markdown. 2026-10-13</dc:description>
</cp:coreProperties>
</file>