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docProps/core.xml" ContentType="application/vnd.openxmlformats-package.core-properties+xml"/>
</Types>
</file>

<file path=_rels/.rels><?xml version='1.0' encoding='utf-8'?>
<Relationships xmlns="http://schemas.openxmlformats.org/package/2006/relationships"><Relationship Id="rIdDocument" Type="http://schemas.openxmlformats.org/officeDocument/2006/relationships/officeDocument" Target="word/document.xml" /><Relationship Id="rIdCore"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pStyle w:val="Heading1"/>
      </w:pPr>
      <w:r>
        <w:rPr/>
        <w:t xml:space="preserve">Семинар 03 — SRS ба шаардлагын баталгаажуулалт</w:t>
      </w:r>
    </w:p>
    <w:p>
      <w:pPr>
        <w:pStyle w:val="Normal"/>
      </w:pPr>
      <w:r>
        <w:rPr/>
        <w:t xml:space="preserve"/>
      </w:r>
      <w:r>
        <w:rPr>
          <w:b/>
        </w:rPr>
        <w:t xml:space="preserve">Төсөл:</w:t>
      </w:r>
      <w:r>
        <w:rPr/>
        <w:t xml:space="preserve"> FoodFlow · </w:t>
      </w:r>
      <w:r>
        <w:rPr>
          <w:b/>
        </w:rPr>
        <w:t xml:space="preserve">Deliverable:</w:t>
      </w:r>
      <w:r>
        <w:rPr/>
        <w:t xml:space="preserve"> SRS 1.1 editorial revision · </w:t>
      </w:r>
      <w:r>
        <w:rPr>
          <w:b/>
        </w:rPr>
        <w:t xml:space="preserve">Шалгасан:</w:t>
      </w:r>
      <w:r>
        <w:rPr/>
        <w:t xml:space="preserve"> 2026-10-13</w:t>
      </w:r>
    </w:p>
    <w:p>
      <w:pPr>
        <w:pStyle w:val="Normal"/>
      </w:pPr>
      <w:r>
        <w:rPr/>
        <w:t xml:space="preserve">Энэ семинарын зорилго нь FoodFlow-ийн хийх ёстой ажиллагааг хэрэглэгчид харагдах үр дүнгээр тодорхойлж, шаардлага бүрийг шалгаж болох нөхцөлтэй болгох юм. 15 functional requirement (FR), таван measurable non-functional requirement (NFR)-ийг нэг суурь ID-гаар хөтөлж, AI-ийн бүдэг тайлбар, эх баримтын зөрүү, гаднын баталгаажуулалт дутуу хэсгийг ялгав.</w:t>
      </w:r>
    </w:p>
    <w:p>
      <w:pPr>
        <w:pStyle w:val="Normal"/>
      </w:pPr>
      <w:r>
        <w:rPr/>
        <w:t xml:space="preserve"/>
      </w:r>
      <w:r>
        <w:rPr>
          <w:b/>
        </w:rPr>
        <w:t xml:space="preserve">Гол материал:</w:t>
      </w:r>
      <w:r>
        <w:rPr/>
        <w:t xml:space="preserve"> </w:t>
      </w:r>
      <w:hyperlink r:id="rIdLink1">
        <w:r>
          <w:rPr>
            <w:color w:val="176D91"/>
            <w:u w:val="single"/>
          </w:rPr>
          <w:t xml:space="preserve">SRS</w:t>
        </w:r>
      </w:hyperlink>
      <w:r>
        <w:rPr/>
        <w:t xml:space="preserve"> · </w:t>
      </w:r>
      <w:hyperlink r:id="rIdLink2">
        <w:r>
          <w:rPr>
            <w:color w:val="176D91"/>
            <w:u w:val="single"/>
          </w:rPr>
          <w:t xml:space="preserve">Traceability</w:t>
        </w:r>
      </w:hyperlink>
      <w:r>
        <w:rPr/>
        <w:t xml:space="preserve"> · </w:t>
      </w:r>
      <w:hyperlink r:id="rIdLink3">
        <w:r>
          <w:rPr>
            <w:color w:val="176D91"/>
            <w:u w:val="single"/>
          </w:rPr>
          <w:t xml:space="preserve">Acceptance mock UI</w:t>
        </w:r>
      </w:hyperlink>
      <w:r>
        <w:rPr/>
        <w:t xml:space="preserve"> · </w:t>
      </w:r>
      <w:hyperlink r:id="rIdLink4">
        <w:r>
          <w:rPr>
            <w:color w:val="176D91"/>
            <w:u w:val="single"/>
          </w:rPr>
          <w:t xml:space="preserve">Архитектур</w:t>
        </w:r>
      </w:hyperlink>
    </w:p>
    <w:p>
      <w:pPr>
        <w:pStyle w:val="Heading2"/>
      </w:pPr>
      <w:r>
        <w:rPr/>
        <w:t xml:space="preserve">Даалгавар ба шинэчилсэн үр дүн</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375"/>
        <w:gridCol w:w="3462"/>
        <w:gridCol w:w="4027"/>
      </w:tblGrid>
      <w:tr>
        <w:trPr>
          <w:cantSplit/>
          <w:tblHeader/>
        </w:trPr>
        <w:tc>
          <w:tcPr>
            <w:tcW w:w="2375" w:type="dxa"/>
            <w:vAlign w:val="top"/>
            <w:shd w:fill="E5EFEC" w:val="clear"/>
          </w:tcPr>
          <w:p>
            <w:pPr>
              <w:pStyle w:val="TableText"/>
            </w:pPr>
            <w:r>
              <w:rPr>
                <w:b/>
                <w:sz w:val="18"/>
              </w:rPr>
              <w:t xml:space="preserve">Handout story</w:t>
            </w:r>
          </w:p>
        </w:tc>
        <w:tc>
          <w:tcPr>
            <w:tcW w:w="3462" w:type="dxa"/>
            <w:vAlign w:val="top"/>
            <w:shd w:fill="E5EFEC" w:val="clear"/>
          </w:tcPr>
          <w:p>
            <w:pPr>
              <w:pStyle w:val="TableText"/>
            </w:pPr>
            <w:r>
              <w:rPr>
                <w:b/>
                <w:sz w:val="18"/>
              </w:rPr>
              <w:t xml:space="preserve">Шаардлага</w:t>
            </w:r>
          </w:p>
        </w:tc>
        <w:tc>
          <w:tcPr>
            <w:tcW w:w="4027" w:type="dxa"/>
            <w:vAlign w:val="top"/>
            <w:shd w:fill="E5EFEC" w:val="clear"/>
          </w:tcPr>
          <w:p>
            <w:pPr>
              <w:pStyle w:val="TableText"/>
            </w:pPr>
            <w:r>
              <w:rPr>
                <w:b/>
                <w:sz w:val="18"/>
              </w:rPr>
              <w:t xml:space="preserve">Шинэчилсэн материал / төлөв</w:t>
            </w:r>
          </w:p>
        </w:tc>
      </w:tr>
      <w:tr>
        <w:trPr>
          <w:cantSplit/>
        </w:trPr>
        <w:tc>
          <w:tcPr>
            <w:tcW w:w="2375" w:type="dxa"/>
            <w:vAlign w:val="top"/>
          </w:tcPr>
          <w:p>
            <w:pPr>
              <w:pStyle w:val="TableText"/>
            </w:pPr>
            <w:r>
              <w:rPr>
                <w:sz w:val="18"/>
              </w:rPr>
              <w:t xml:space="preserve">US-3.1</w:t>
            </w:r>
          </w:p>
        </w:tc>
        <w:tc>
          <w:tcPr>
            <w:tcW w:w="3462" w:type="dxa"/>
            <w:vAlign w:val="top"/>
          </w:tcPr>
          <w:p>
            <w:pPr>
              <w:pStyle w:val="TableText"/>
            </w:pPr>
            <w:r>
              <w:rPr>
                <w:sz w:val="18"/>
              </w:rPr>
              <w:t xml:space="preserve">15 FR, тус бүр test procedure, priority; ≥5 mock UI</w:t>
            </w:r>
          </w:p>
        </w:tc>
        <w:tc>
          <w:tcPr>
            <w:tcW w:w="4027" w:type="dxa"/>
            <w:vAlign w:val="top"/>
          </w:tcPr>
          <w:p>
            <w:pPr>
              <w:pStyle w:val="TableText"/>
            </w:pPr>
            <w:r>
              <w:rPr>
                <w:sz w:val="18"/>
              </w:rPr>
              <w:t xml:space="preserve">SRS 15/15 FR; TC-FR01–15; 7 editable SVG mockup</w:t>
            </w:r>
          </w:p>
        </w:tc>
      </w:tr>
      <w:tr>
        <w:trPr>
          <w:cantSplit/>
        </w:trPr>
        <w:tc>
          <w:tcPr>
            <w:tcW w:w="2375" w:type="dxa"/>
            <w:vAlign w:val="top"/>
            <w:shd w:fill="F6F9FA" w:val="clear"/>
          </w:tcPr>
          <w:p>
            <w:pPr>
              <w:pStyle w:val="TableText"/>
            </w:pPr>
            <w:r>
              <w:rPr>
                <w:sz w:val="18"/>
              </w:rPr>
              <w:t xml:space="preserve">US-3.2</w:t>
            </w:r>
          </w:p>
        </w:tc>
        <w:tc>
          <w:tcPr>
            <w:tcW w:w="3462" w:type="dxa"/>
            <w:vAlign w:val="top"/>
            <w:shd w:fill="F6F9FA" w:val="clear"/>
          </w:tcPr>
          <w:p>
            <w:pPr>
              <w:pStyle w:val="TableText"/>
            </w:pPr>
            <w:r>
              <w:rPr>
                <w:sz w:val="18"/>
              </w:rPr>
              <w:t xml:space="preserve">5 measurable NFR, ≥3 category, boundary + method</w:t>
            </w:r>
          </w:p>
        </w:tc>
        <w:tc>
          <w:tcPr>
            <w:tcW w:w="4027" w:type="dxa"/>
            <w:vAlign w:val="top"/>
            <w:shd w:fill="F6F9FA" w:val="clear"/>
          </w:tcPr>
          <w:p>
            <w:pPr>
              <w:pStyle w:val="TableText"/>
            </w:pPr>
            <w:r>
              <w:rPr>
                <w:sz w:val="18"/>
              </w:rPr>
              <w:t xml:space="preserve">5 NFR / 5 category; raw evidence, denominator, Pass/Fail тодорхой</w:t>
            </w:r>
          </w:p>
        </w:tc>
      </w:tr>
      <w:tr>
        <w:trPr>
          <w:cantSplit/>
        </w:trPr>
        <w:tc>
          <w:tcPr>
            <w:tcW w:w="2375" w:type="dxa"/>
            <w:vAlign w:val="top"/>
          </w:tcPr>
          <w:p>
            <w:pPr>
              <w:pStyle w:val="TableText"/>
            </w:pPr>
            <w:r>
              <w:rPr>
                <w:sz w:val="18"/>
              </w:rPr>
              <w:t xml:space="preserve">US-3.3</w:t>
            </w:r>
          </w:p>
        </w:tc>
        <w:tc>
          <w:tcPr>
            <w:tcW w:w="3462" w:type="dxa"/>
            <w:vAlign w:val="top"/>
          </w:tcPr>
          <w:p>
            <w:pPr>
              <w:pStyle w:val="TableText"/>
            </w:pPr>
            <w:r>
              <w:rPr>
                <w:sz w:val="18"/>
              </w:rPr>
              <w:t xml:space="preserve">GPT-4 candidate-тай ≥3 ялгаа, quote + correction, wiki artifact</w:t>
            </w:r>
          </w:p>
        </w:tc>
        <w:tc>
          <w:tcPr>
            <w:tcW w:w="4027" w:type="dxa"/>
            <w:vAlign w:val="top"/>
          </w:tcPr>
          <w:p>
            <w:pPr>
              <w:pStyle w:val="TableText"/>
            </w:pPr>
            <w:r>
              <w:rPr>
                <w:sz w:val="18"/>
              </w:rPr>
              <w:t xml:space="preserve">Гурван сургалтын AI comparison бэлэн; шаардсан GPT-4 run metadata / transcript pending</w:t>
            </w:r>
          </w:p>
        </w:tc>
      </w:tr>
      <w:tr>
        <w:trPr>
          <w:cantSplit/>
        </w:trPr>
        <w:tc>
          <w:tcPr>
            <w:tcW w:w="2375" w:type="dxa"/>
            <w:vAlign w:val="top"/>
            <w:shd w:fill="F6F9FA" w:val="clear"/>
          </w:tcPr>
          <w:p>
            <w:pPr>
              <w:pStyle w:val="TableText"/>
            </w:pPr>
            <w:r>
              <w:rPr>
                <w:sz w:val="18"/>
              </w:rPr>
              <w:t xml:space="preserve">US-3.4</w:t>
            </w:r>
          </w:p>
        </w:tc>
        <w:tc>
          <w:tcPr>
            <w:tcW w:w="3462" w:type="dxa"/>
            <w:vAlign w:val="top"/>
            <w:shd w:fill="F6F9FA" w:val="clear"/>
          </w:tcPr>
          <w:p>
            <w:pPr>
              <w:pStyle w:val="TableText"/>
            </w:pPr>
            <w:r>
              <w:rPr>
                <w:sz w:val="18"/>
              </w:rPr>
              <w:t xml:space="preserve">Peer review; ≥3 comment; v0.9 → v1.0 diff</w:t>
            </w:r>
          </w:p>
        </w:tc>
        <w:tc>
          <w:tcPr>
            <w:tcW w:w="4027" w:type="dxa"/>
            <w:vAlign w:val="top"/>
            <w:shd w:fill="F6F9FA" w:val="clear"/>
          </w:tcPr>
          <w:p>
            <w:pPr>
              <w:pStyle w:val="TableText"/>
            </w:pPr>
            <w:r>
              <w:rPr>
                <w:sz w:val="18"/>
              </w:rPr>
              <w:t xml:space="preserve">Self-audit-ийн 3 мөр ба archive diff бэлэн; бодит peer review pending</w:t>
            </w:r>
          </w:p>
        </w:tc>
      </w:tr>
      <w:tr>
        <w:trPr>
          <w:cantSplit/>
        </w:trPr>
        <w:tc>
          <w:tcPr>
            <w:tcW w:w="2375" w:type="dxa"/>
            <w:vAlign w:val="top"/>
          </w:tcPr>
          <w:p>
            <w:pPr>
              <w:pStyle w:val="TableText"/>
            </w:pPr>
            <w:r>
              <w:rPr>
                <w:sz w:val="18"/>
              </w:rPr>
              <w:t xml:space="preserve">UE-3</w:t>
            </w:r>
          </w:p>
        </w:tc>
        <w:tc>
          <w:tcPr>
            <w:tcW w:w="3462" w:type="dxa"/>
            <w:vAlign w:val="top"/>
          </w:tcPr>
          <w:p>
            <w:pPr>
              <w:pStyle w:val="TableText"/>
            </w:pPr>
            <w:r>
              <w:rPr>
                <w:sz w:val="18"/>
              </w:rPr>
              <w:t xml:space="preserve">Corg.ly 5 FR, AI 3 error, нэг нүүрийн reflection</w:t>
            </w:r>
          </w:p>
        </w:tc>
        <w:tc>
          <w:tcPr>
            <w:tcW w:w="4027" w:type="dxa"/>
            <w:vAlign w:val="top"/>
          </w:tcPr>
          <w:p>
            <w:pPr>
              <w:pStyle w:val="TableText"/>
            </w:pPr>
            <w:r>
              <w:rPr>
                <w:sz w:val="18"/>
              </w:rPr>
              <w:t xml:space="preserve">Энэ тайлангийн тусдаа UE-3 хэсэг</w:t>
            </w:r>
          </w:p>
        </w:tc>
      </w:tr>
    </w:tbl>
    <w:p>
      <w:pPr>
        <w:pStyle w:val="Gap"/>
      </w:pPr>
    </w:p>
    <w:p>
      <w:pPr>
        <w:pStyle w:val="Normal"/>
      </w:pPr>
      <w:r>
        <w:rPr/>
        <w:t xml:space="preserve">ID-ийн суурь нь шинэ </w:t>
      </w:r>
      <w:r>
        <w:rPr>
          <w:rFonts w:ascii="Consolas" w:hAnsi="Consolas" w:cs="Consolas"/>
          <w:shd w:fill="F0F5F3" w:val="clear"/>
        </w:rPr>
        <w:t xml:space="preserve">Week_03_FoodFlow.docx</w:t>
      </w:r>
      <w:r>
        <w:rPr/>
        <w:t xml:space="preserve">. Хуучин </w:t>
      </w:r>
      <w:r>
        <w:rPr>
          <w:rFonts w:ascii="Consolas" w:hAnsi="Consolas" w:cs="Consolas"/>
          <w:shd w:fill="F0F5F3" w:val="clear"/>
        </w:rPr>
        <w:t xml:space="preserve">PHTBB-3.pdf</w:t>
      </w:r>
      <w:r>
        <w:rPr/>
        <w:t xml:space="preserve">-ийн FR-06/07, FR-10/11 солигдсон; NFR-01 metric өөрчлөгдсөн. Зөрүүг </w:t>
      </w:r>
      <w:hyperlink r:id="rIdLink5">
        <w:r>
          <w:rPr>
            <w:color w:val="176D91"/>
            <w:u w:val="single"/>
          </w:rPr>
          <w:t xml:space="preserve">canonical mapping</w:t>
        </w:r>
      </w:hyperlink>
      <w:r>
        <w:rPr/>
        <w:t xml:space="preserve">-д хадгалсан. Архивын эхийг өөрчлөөгүй.</w:t>
      </w:r>
    </w:p>
    <w:p>
      <w:pPr>
        <w:pStyle w:val="Heading2"/>
      </w:pPr>
      <w:r>
        <w:rPr/>
        <w:t xml:space="preserve">Шаардлагын чанарт хийсэн засвар</w:t>
      </w:r>
    </w:p>
    <w:p>
      <w:pPr>
        <w:pStyle w:val="Normal"/>
      </w:pPr>
      <w:r>
        <w:rPr/>
        <w:t xml:space="preserve">Шаардлага бүр “систем юу хийх вэ?” гэсэн гол үр дүнгээр эхэлнэ. Test procedure нь өгөгдөл → үйлдэл → expected result → Pass/Fail гэсэн дараалалтай. “Хурдан”, “амархан”, “зөв” гэх хэмжүүргүй үнэлгээг дангаар acceptance болгон ашиглаагүй.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553"/>
        <w:gridCol w:w="3339"/>
        <w:gridCol w:w="2972"/>
      </w:tblGrid>
      <w:tr>
        <w:trPr>
          <w:cantSplit/>
          <w:tblHeader/>
        </w:trPr>
        <w:tc>
          <w:tcPr>
            <w:tcW w:w="3553" w:type="dxa"/>
            <w:vAlign w:val="top"/>
            <w:shd w:fill="E5EFEC" w:val="clear"/>
          </w:tcPr>
          <w:p>
            <w:pPr>
              <w:pStyle w:val="TableText"/>
            </w:pPr>
            <w:r>
              <w:rPr>
                <w:b/>
                <w:sz w:val="18"/>
              </w:rPr>
              <w:t xml:space="preserve">Олдсон цоорхой</w:t>
            </w:r>
          </w:p>
        </w:tc>
        <w:tc>
          <w:tcPr>
            <w:tcW w:w="3339" w:type="dxa"/>
            <w:vAlign w:val="top"/>
            <w:shd w:fill="E5EFEC" w:val="clear"/>
          </w:tcPr>
          <w:p>
            <w:pPr>
              <w:pStyle w:val="TableText"/>
            </w:pPr>
            <w:r>
              <w:rPr>
                <w:b/>
                <w:sz w:val="18"/>
              </w:rPr>
              <w:t xml:space="preserve">Засвар</w:t>
            </w:r>
          </w:p>
        </w:tc>
        <w:tc>
          <w:tcPr>
            <w:tcW w:w="2972" w:type="dxa"/>
            <w:vAlign w:val="top"/>
            <w:shd w:fill="E5EFEC" w:val="clear"/>
          </w:tcPr>
          <w:p>
            <w:pPr>
              <w:pStyle w:val="TableText"/>
            </w:pPr>
            <w:r>
              <w:rPr>
                <w:b/>
                <w:sz w:val="18"/>
              </w:rPr>
              <w:t xml:space="preserve">Нөлөө</w:t>
            </w:r>
          </w:p>
        </w:tc>
      </w:tr>
      <w:tr>
        <w:trPr>
          <w:cantSplit/>
        </w:trPr>
        <w:tc>
          <w:tcPr>
            <w:tcW w:w="3553" w:type="dxa"/>
            <w:vAlign w:val="top"/>
          </w:tcPr>
          <w:p>
            <w:pPr>
              <w:pStyle w:val="TableText"/>
            </w:pPr>
            <w:r>
              <w:rPr>
                <w:sz w:val="18"/>
              </w:rPr>
              <w:t xml:space="preserve">FR-02 нь хайлт, ангилал гэсэн хоёр үйлдэлтэй ч тест зөвхөн хайлттай</w:t>
            </w:r>
          </w:p>
        </w:tc>
        <w:tc>
          <w:tcPr>
            <w:tcW w:w="3339" w:type="dxa"/>
            <w:vAlign w:val="top"/>
          </w:tcPr>
          <w:p>
            <w:pPr>
              <w:pStyle w:val="TableText"/>
            </w:pPr>
            <w:r>
              <w:rPr>
                <w:sz w:val="18"/>
              </w:rPr>
              <w:t xml:space="preserve">Хайлт/шүүлт/хамтарсан нөхцөл/үр дүнгүй case</w:t>
            </w:r>
          </w:p>
        </w:tc>
        <w:tc>
          <w:tcPr>
            <w:tcW w:w="2972" w:type="dxa"/>
            <w:vAlign w:val="top"/>
          </w:tcPr>
          <w:p>
            <w:pPr>
              <w:pStyle w:val="TableText"/>
            </w:pPr>
            <w:r>
              <w:rPr>
                <w:sz w:val="18"/>
              </w:rPr>
              <w:t xml:space="preserve">Шаардлагын нэг хэсгийг шалгалтаас алдахгүй</w:t>
            </w:r>
          </w:p>
        </w:tc>
      </w:tr>
      <w:tr>
        <w:trPr>
          <w:cantSplit/>
        </w:trPr>
        <w:tc>
          <w:tcPr>
            <w:tcW w:w="3553" w:type="dxa"/>
            <w:vAlign w:val="top"/>
            <w:shd w:fill="F6F9FA" w:val="clear"/>
          </w:tcPr>
          <w:p>
            <w:pPr>
              <w:pStyle w:val="TableText"/>
            </w:pPr>
            <w:r>
              <w:rPr>
                <w:sz w:val="18"/>
              </w:rPr>
              <w:t xml:space="preserve">FR-05 quantity 1–10 боловч тест зөвхөн 1→2</w:t>
            </w:r>
          </w:p>
        </w:tc>
        <w:tc>
          <w:tcPr>
            <w:tcW w:w="3339" w:type="dxa"/>
            <w:vAlign w:val="top"/>
            <w:shd w:fill="F6F9FA" w:val="clear"/>
          </w:tcPr>
          <w:p>
            <w:pPr>
              <w:pStyle w:val="TableText"/>
            </w:pPr>
            <w:r>
              <w:rPr>
                <w:sz w:val="18"/>
              </w:rPr>
              <w:t xml:space="preserve">1 / 2 / 10 valid; 0 / 11 invalid</w:t>
            </w:r>
          </w:p>
        </w:tc>
        <w:tc>
          <w:tcPr>
            <w:tcW w:w="2972" w:type="dxa"/>
            <w:vAlign w:val="top"/>
            <w:shd w:fill="F6F9FA" w:val="clear"/>
          </w:tcPr>
          <w:p>
            <w:pPr>
              <w:pStyle w:val="TableText"/>
            </w:pPr>
            <w:r>
              <w:rPr>
                <w:sz w:val="18"/>
              </w:rPr>
              <w:t xml:space="preserve">Boundary ил тод</w:t>
            </w:r>
          </w:p>
        </w:tc>
      </w:tr>
      <w:tr>
        <w:trPr>
          <w:cantSplit/>
        </w:trPr>
        <w:tc>
          <w:tcPr>
            <w:tcW w:w="3553" w:type="dxa"/>
            <w:vAlign w:val="top"/>
          </w:tcPr>
          <w:p>
            <w:pPr>
              <w:pStyle w:val="TableText"/>
            </w:pPr>
            <w:r>
              <w:rPr>
                <w:sz w:val="18"/>
              </w:rPr>
              <w:t xml:space="preserve">FR-08 нь cart draft ба хаяг хадгалалтыг хольсон</w:t>
            </w:r>
          </w:p>
        </w:tc>
        <w:tc>
          <w:tcPr>
            <w:tcW w:w="3339" w:type="dxa"/>
            <w:vAlign w:val="top"/>
          </w:tcPr>
          <w:p>
            <w:pPr>
              <w:pStyle w:val="TableText"/>
            </w:pPr>
            <w:r>
              <w:rPr>
                <w:sz w:val="18"/>
              </w:rPr>
              <w:t xml:space="preserve">Дутуу хаяг хадгалагдахгүй, өмнөх draft-ыг үгүйсгэхгүй</w:t>
            </w:r>
          </w:p>
        </w:tc>
        <w:tc>
          <w:tcPr>
            <w:tcW w:w="2972" w:type="dxa"/>
            <w:vAlign w:val="top"/>
          </w:tcPr>
          <w:p>
            <w:pPr>
              <w:pStyle w:val="TableText"/>
            </w:pPr>
            <w:r>
              <w:rPr>
                <w:sz w:val="18"/>
              </w:rPr>
              <w:t xml:space="preserve">Checkout lifecycle логик зөрөхгүй</w:t>
            </w:r>
          </w:p>
        </w:tc>
      </w:tr>
      <w:tr>
        <w:trPr>
          <w:cantSplit/>
        </w:trPr>
        <w:tc>
          <w:tcPr>
            <w:tcW w:w="3553" w:type="dxa"/>
            <w:vAlign w:val="top"/>
            <w:shd w:fill="F6F9FA" w:val="clear"/>
          </w:tcPr>
          <w:p>
            <w:pPr>
              <w:pStyle w:val="TableText"/>
            </w:pPr>
            <w:r>
              <w:rPr>
                <w:sz w:val="18"/>
              </w:rPr>
              <w:t xml:space="preserve">FR-13 шинэ суурь нь Confirmed зөвшөөрөх, W06 нь Pending-only</w:t>
            </w:r>
          </w:p>
        </w:tc>
        <w:tc>
          <w:tcPr>
            <w:tcW w:w="3339" w:type="dxa"/>
            <w:vAlign w:val="top"/>
            <w:shd w:fill="F6F9FA" w:val="clear"/>
          </w:tcPr>
          <w:p>
            <w:pPr>
              <w:pStyle w:val="TableText"/>
            </w:pPr>
            <w:r>
              <w:rPr>
                <w:sz w:val="18"/>
              </w:rPr>
              <w:t xml:space="preserve">SRS хадгалж, implementation gap бүртгэсэн</w:t>
            </w:r>
          </w:p>
        </w:tc>
        <w:tc>
          <w:tcPr>
            <w:tcW w:w="2972" w:type="dxa"/>
            <w:vAlign w:val="top"/>
            <w:shd w:fill="F6F9FA" w:val="clear"/>
          </w:tcPr>
          <w:p>
            <w:pPr>
              <w:pStyle w:val="TableText"/>
            </w:pPr>
            <w:r>
              <w:rPr>
                <w:sz w:val="18"/>
              </w:rPr>
              <w:t xml:space="preserve">Кодыг хараад business rule-г чимээгүй өөрчлөхгүй</w:t>
            </w:r>
          </w:p>
        </w:tc>
      </w:tr>
      <w:tr>
        <w:trPr>
          <w:cantSplit/>
        </w:trPr>
        <w:tc>
          <w:tcPr>
            <w:tcW w:w="3553" w:type="dxa"/>
            <w:vAlign w:val="top"/>
          </w:tcPr>
          <w:p>
            <w:pPr>
              <w:pStyle w:val="TableText"/>
            </w:pPr>
            <w:r>
              <w:rPr>
                <w:sz w:val="18"/>
              </w:rPr>
              <w:t xml:space="preserve">NFR-01 API response p95 ба UI LCP p75 холилдсон</w:t>
            </w:r>
          </w:p>
        </w:tc>
        <w:tc>
          <w:tcPr>
            <w:tcW w:w="3339" w:type="dxa"/>
            <w:vAlign w:val="top"/>
          </w:tcPr>
          <w:p>
            <w:pPr>
              <w:pStyle w:val="TableText"/>
            </w:pPr>
            <w:r>
              <w:rPr>
                <w:sz w:val="18"/>
              </w:rPr>
              <w:t xml:space="preserve">Mobile 30 run, p75 LCP ≤2.5 s-г тодорхойлсон</w:t>
            </w:r>
          </w:p>
        </w:tc>
        <w:tc>
          <w:tcPr>
            <w:tcW w:w="2972" w:type="dxa"/>
            <w:vAlign w:val="top"/>
          </w:tcPr>
          <w:p>
            <w:pPr>
              <w:pStyle w:val="TableText"/>
            </w:pPr>
            <w:r>
              <w:rPr>
                <w:sz w:val="18"/>
              </w:rPr>
              <w:t xml:space="preserve">Өөр metric-ийн pass-аар нотлохгүй</w:t>
            </w:r>
          </w:p>
        </w:tc>
      </w:tr>
      <w:tr>
        <w:trPr>
          <w:cantSplit/>
        </w:trPr>
        <w:tc>
          <w:tcPr>
            <w:tcW w:w="3553" w:type="dxa"/>
            <w:vAlign w:val="top"/>
            <w:shd w:fill="F6F9FA" w:val="clear"/>
          </w:tcPr>
          <w:p>
            <w:pPr>
              <w:pStyle w:val="TableText"/>
            </w:pPr>
            <w:r>
              <w:rPr>
                <w:sz w:val="18"/>
              </w:rPr>
              <w:t xml:space="preserve">NFR-04 uptime denominator тодорхойгүй</w:t>
            </w:r>
          </w:p>
        </w:tc>
        <w:tc>
          <w:tcPr>
            <w:tcW w:w="3339" w:type="dxa"/>
            <w:vAlign w:val="top"/>
            <w:shd w:fill="F6F9FA" w:val="clear"/>
          </w:tcPr>
          <w:p>
            <w:pPr>
              <w:pStyle w:val="TableText"/>
            </w:pPr>
            <w:r>
              <w:rPr>
                <w:sz w:val="18"/>
              </w:rPr>
              <w:t xml:space="preserve">43,200 scheduled slots; missing ≠ success; maintenance тусдаа</w:t>
            </w:r>
          </w:p>
        </w:tc>
        <w:tc>
          <w:tcPr>
            <w:tcW w:w="2972" w:type="dxa"/>
            <w:vAlign w:val="top"/>
            <w:shd w:fill="F6F9FA" w:val="clear"/>
          </w:tcPr>
          <w:p>
            <w:pPr>
              <w:pStyle w:val="TableText"/>
            </w:pPr>
            <w:r>
              <w:rPr>
                <w:sz w:val="18"/>
              </w:rPr>
              <w:t xml:space="preserve">Хэмжилт нөхөн сэргээж шалгаж болно</w:t>
            </w:r>
          </w:p>
        </w:tc>
      </w:tr>
    </w:tbl>
    <w:p>
      <w:pPr>
        <w:pStyle w:val="Gap"/>
      </w:pPr>
    </w:p>
    <w:p>
      <w:pPr>
        <w:pStyle w:val="Normal"/>
      </w:pPr>
      <w:r>
        <w:rPr/>
        <w:t xml:space="preserve">NFR-01-ийн 2.5 секундийг </w:t>
      </w:r>
      <w:hyperlink r:id="rIdLink6">
        <w:r>
          <w:rPr>
            <w:color w:val="176D91"/>
            <w:u w:val="single"/>
          </w:rPr>
          <w:t xml:space="preserve">web.dev</w:t>
        </w:r>
      </w:hyperlink>
      <w:r>
        <w:rPr/>
        <w:t xml:space="preserve">, </w:t>
      </w:r>
      <w:hyperlink r:id="rIdLink7">
        <w:r>
          <w:rPr>
            <w:color w:val="176D91"/>
            <w:u w:val="single"/>
          </w:rPr>
          <w:t xml:space="preserve">Chrome Lighthouse</w:t>
        </w:r>
      </w:hyperlink>
      <w:r>
        <w:rPr/>
        <w:t xml:space="preserve"> гэсэн хоёр албан баримтаар тайлбарласан. Энэ нь нэг Google/Chrome эх үүсвэрийн хоёр материал; бие даасан хоёр судалгаа гэж нэрлээгүй. 30 run-ийн lab p75 нь бодит хэрэглэгчдийн field p75 гэсэн үг биш. Akamai-ийн ерөнхий хурдны судалгааг 2.5 секунд тогтоосон эх сурвалж болгон ашиглаагүй.</w:t>
      </w:r>
    </w:p>
    <w:p>
      <w:pPr>
        <w:pStyle w:val="Heading2"/>
      </w:pPr>
      <w:r>
        <w:rPr/>
        <w:t xml:space="preserve">Use → Verify → Cite — AI-ийн гурван алдаа</w:t>
      </w:r>
    </w:p>
    <w:p>
      <w:pPr>
        <w:pStyle w:val="Normal"/>
      </w:pPr>
      <w:r>
        <w:rPr/>
        <w:t xml:space="preserve">Доорх candidate нь эх шинэ W03 материалд сургалтын зориулалтаар AI-аар үүсгэсэн жишээ гэж тэмдэглэгдсэн. Тусдаа GPT-4/Claude session-ийн transcript, model version, timestamp ирээгүй тул нэр бүхий model benchmark гэж мэдүүлээгүй.</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982"/>
        <w:gridCol w:w="2356"/>
        <w:gridCol w:w="3057"/>
        <w:gridCol w:w="2469"/>
      </w:tblGrid>
      <w:tr>
        <w:trPr>
          <w:cantSplit/>
          <w:tblHeader/>
        </w:trPr>
        <w:tc>
          <w:tcPr>
            <w:tcW w:w="1982" w:type="dxa"/>
            <w:vAlign w:val="top"/>
            <w:shd w:fill="E5EFEC" w:val="clear"/>
          </w:tcPr>
          <w:p>
            <w:pPr>
              <w:pStyle w:val="TableText"/>
            </w:pPr>
            <w:r>
              <w:rPr>
                <w:b/>
                <w:sz w:val="17"/>
              </w:rPr>
              <w:t xml:space="preserve">AI candidate</w:t>
            </w:r>
          </w:p>
        </w:tc>
        <w:tc>
          <w:tcPr>
            <w:tcW w:w="2356" w:type="dxa"/>
            <w:vAlign w:val="top"/>
            <w:shd w:fill="E5EFEC" w:val="clear"/>
          </w:tcPr>
          <w:p>
            <w:pPr>
              <w:pStyle w:val="TableText"/>
            </w:pPr>
            <w:r>
              <w:rPr>
                <w:b/>
                <w:sz w:val="17"/>
              </w:rPr>
              <w:t xml:space="preserve">Verify — ямар асуудалтай вэ?</w:t>
            </w:r>
          </w:p>
        </w:tc>
        <w:tc>
          <w:tcPr>
            <w:tcW w:w="3057" w:type="dxa"/>
            <w:vAlign w:val="top"/>
            <w:shd w:fill="E5EFEC" w:val="clear"/>
          </w:tcPr>
          <w:p>
            <w:pPr>
              <w:pStyle w:val="TableText"/>
            </w:pPr>
            <w:r>
              <w:rPr>
                <w:b/>
                <w:sz w:val="17"/>
              </w:rPr>
              <w:t xml:space="preserve">Зассан шаардлага</w:t>
            </w:r>
          </w:p>
        </w:tc>
        <w:tc>
          <w:tcPr>
            <w:tcW w:w="2469" w:type="dxa"/>
            <w:vAlign w:val="top"/>
            <w:shd w:fill="E5EFEC" w:val="clear"/>
          </w:tcPr>
          <w:p>
            <w:pPr>
              <w:pStyle w:val="TableText"/>
            </w:pPr>
            <w:r>
              <w:rPr>
                <w:b/>
                <w:sz w:val="17"/>
              </w:rPr>
              <w:t xml:space="preserve">Cite — шалгах суурь</w:t>
            </w:r>
          </w:p>
        </w:tc>
      </w:tr>
      <w:tr>
        <w:trPr>
          <w:cantSplit/>
        </w:trPr>
        <w:tc>
          <w:tcPr>
            <w:tcW w:w="1982" w:type="dxa"/>
            <w:vAlign w:val="top"/>
          </w:tcPr>
          <w:p>
            <w:pPr>
              <w:pStyle w:val="TableText"/>
            </w:pPr>
            <w:r>
              <w:rPr>
                <w:sz w:val="17"/>
              </w:rPr>
              <w:t xml:space="preserve">“Menu хурдан нээгдэнэ.”</w:t>
            </w:r>
          </w:p>
        </w:tc>
        <w:tc>
          <w:tcPr>
            <w:tcW w:w="2356" w:type="dxa"/>
            <w:vAlign w:val="top"/>
          </w:tcPr>
          <w:p>
            <w:pPr>
              <w:pStyle w:val="TableText"/>
            </w:pPr>
            <w:r>
              <w:rPr>
                <w:sz w:val="17"/>
              </w:rPr>
              <w:t xml:space="preserve">Metric, device, percentile, boundary алга</w:t>
            </w:r>
          </w:p>
        </w:tc>
        <w:tc>
          <w:tcPr>
            <w:tcW w:w="3057" w:type="dxa"/>
            <w:vAlign w:val="top"/>
          </w:tcPr>
          <w:p>
            <w:pPr>
              <w:pStyle w:val="TableText"/>
            </w:pPr>
            <w:r>
              <w:rPr>
                <w:sz w:val="17"/>
              </w:rPr>
              <w:t xml:space="preserve">NFR-01: mobile 30 run, p75 LCP ≤2.5 s</w:t>
            </w:r>
          </w:p>
        </w:tc>
        <w:tc>
          <w:tcPr>
            <w:tcW w:w="2469" w:type="dxa"/>
            <w:vAlign w:val="top"/>
          </w:tcPr>
          <w:p>
            <w:pPr>
              <w:pStyle w:val="TableText"/>
            </w:pPr>
            <w:r>
              <w:rPr>
                <w:sz w:val="17"/>
              </w:rPr>
              <w:t xml:space="preserve">SRS; web.dev LCP; Lighthouse mobile threshold</w:t>
            </w:r>
          </w:p>
        </w:tc>
      </w:tr>
      <w:tr>
        <w:trPr>
          <w:cantSplit/>
        </w:trPr>
        <w:tc>
          <w:tcPr>
            <w:tcW w:w="1982" w:type="dxa"/>
            <w:vAlign w:val="top"/>
            <w:shd w:fill="F6F9FA" w:val="clear"/>
          </w:tcPr>
          <w:p>
            <w:pPr>
              <w:pStyle w:val="TableText"/>
            </w:pPr>
            <w:r>
              <w:rPr>
                <w:sz w:val="17"/>
              </w:rPr>
              <w:t xml:space="preserve">“Хэрэглэгч амархан захиална.”</w:t>
            </w:r>
          </w:p>
        </w:tc>
        <w:tc>
          <w:tcPr>
            <w:tcW w:w="2356" w:type="dxa"/>
            <w:vAlign w:val="top"/>
            <w:shd w:fill="F6F9FA" w:val="clear"/>
          </w:tcPr>
          <w:p>
            <w:pPr>
              <w:pStyle w:val="TableText"/>
            </w:pPr>
            <w:r>
              <w:rPr>
                <w:sz w:val="17"/>
              </w:rPr>
              <w:t xml:space="preserve">Оролт / үр дүн ба duplicate нөхцөл алга</w:t>
            </w:r>
          </w:p>
        </w:tc>
        <w:tc>
          <w:tcPr>
            <w:tcW w:w="3057" w:type="dxa"/>
            <w:vAlign w:val="top"/>
            <w:shd w:fill="F6F9FA" w:val="clear"/>
          </w:tcPr>
          <w:p>
            <w:pPr>
              <w:pStyle w:val="TableText"/>
            </w:pPr>
            <w:r>
              <w:rPr>
                <w:sz w:val="17"/>
              </w:rPr>
              <w:t xml:space="preserve">FR-11: valid checkout, ижил key → нэг order_id</w:t>
            </w:r>
          </w:p>
        </w:tc>
        <w:tc>
          <w:tcPr>
            <w:tcW w:w="2469" w:type="dxa"/>
            <w:vAlign w:val="top"/>
            <w:shd w:fill="F6F9FA" w:val="clear"/>
          </w:tcPr>
          <w:p>
            <w:pPr>
              <w:pStyle w:val="TableText"/>
            </w:pPr>
            <w:r>
              <w:rPr>
                <w:sz w:val="17"/>
              </w:rPr>
              <w:t xml:space="preserve">W02 Scope Charter; W01 Билэгт; TC-FR11</w:t>
            </w:r>
          </w:p>
        </w:tc>
      </w:tr>
      <w:tr>
        <w:trPr>
          <w:cantSplit/>
        </w:trPr>
        <w:tc>
          <w:tcPr>
            <w:tcW w:w="1982" w:type="dxa"/>
            <w:vAlign w:val="top"/>
          </w:tcPr>
          <w:p>
            <w:pPr>
              <w:pStyle w:val="TableText"/>
            </w:pPr>
            <w:r>
              <w:rPr>
                <w:sz w:val="17"/>
              </w:rPr>
              <w:t xml:space="preserve">“Хүн бүх захиалгаа харна.”</w:t>
            </w:r>
          </w:p>
        </w:tc>
        <w:tc>
          <w:tcPr>
            <w:tcW w:w="2356" w:type="dxa"/>
            <w:vAlign w:val="top"/>
          </w:tcPr>
          <w:p>
            <w:pPr>
              <w:pStyle w:val="TableText"/>
            </w:pPr>
            <w:r>
              <w:rPr>
                <w:sz w:val="17"/>
              </w:rPr>
              <w:t xml:space="preserve">Ownership-ийн хил бүдэг</w:t>
            </w:r>
          </w:p>
        </w:tc>
        <w:tc>
          <w:tcPr>
            <w:tcW w:w="3057" w:type="dxa"/>
            <w:vAlign w:val="top"/>
          </w:tcPr>
          <w:p>
            <w:pPr>
              <w:pStyle w:val="TableText"/>
            </w:pPr>
            <w:r>
              <w:rPr>
                <w:sz w:val="17"/>
              </w:rPr>
              <w:t xml:space="preserve">FR-12/14, NFR-03: өөрийн order; 100 foreign request → leak / change=0</w:t>
            </w:r>
          </w:p>
        </w:tc>
        <w:tc>
          <w:tcPr>
            <w:tcW w:w="2469" w:type="dxa"/>
            <w:vAlign w:val="top"/>
          </w:tcPr>
          <w:p>
            <w:pPr>
              <w:pStyle w:val="TableText"/>
            </w:pPr>
            <w:r>
              <w:rPr>
                <w:sz w:val="17"/>
              </w:rPr>
              <w:t xml:space="preserve">W01 Номин; W03 privacy boundary; TC-NFR03</w:t>
            </w:r>
          </w:p>
        </w:tc>
      </w:tr>
    </w:tbl>
    <w:p>
      <w:pPr>
        <w:pStyle w:val="Gap"/>
      </w:pPr>
    </w:p>
    <w:p>
      <w:pPr>
        <w:pStyle w:val="Normal"/>
      </w:pPr>
      <w:r>
        <w:rPr/>
        <w:t xml:space="preserve"/>
      </w:r>
      <w:r>
        <w:rPr>
          <w:b/>
        </w:rPr>
        <w:t xml:space="preserve">Use:</w:t>
      </w:r>
      <w:r>
        <w:rPr/>
        <w:t xml:space="preserve"> Candidate-ийг бүтэц/ноорог гаргахад хэрэглэнэ. </w:t>
      </w:r>
      <w:r>
        <w:rPr>
          <w:b/>
        </w:rPr>
        <w:t xml:space="preserve">Verify:</w:t>
      </w:r>
      <w:r>
        <w:rPr/>
        <w:t xml:space="preserve"> Үг бүрийг scope, SRS, schema, код, тесттэй тулгана; хэмжих арга ба нээлттэй шийдвэрийг тодруулна. </w:t>
      </w:r>
      <w:r>
        <w:rPr>
          <w:b/>
        </w:rPr>
        <w:t xml:space="preserve">Cite:</w:t>
      </w:r>
      <w:r>
        <w:rPr/>
        <w:t xml:space="preserve"> Зөвхөн тухайн мэдэгдлийг дэмждэг эх сурвалж, version, evidence-ийг холбоно. AI-ийн итгэлтэй өгүүлбэр нь баталгаажуулалтын орлуулга биш.</w:t>
      </w:r>
    </w:p>
    <w:p>
      <w:pPr>
        <w:pStyle w:val="Heading2"/>
      </w:pPr>
      <w:r>
        <w:rPr/>
        <w:t xml:space="preserve">v0.9 → v1.0-ийн редакцийн diff ба peer review</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629"/>
        <w:gridCol w:w="2177"/>
        <w:gridCol w:w="2880"/>
        <w:gridCol w:w="2178"/>
      </w:tblGrid>
      <w:tr>
        <w:trPr>
          <w:cantSplit/>
          <w:tblHeader/>
        </w:trPr>
        <w:tc>
          <w:tcPr>
            <w:tcW w:w="2629" w:type="dxa"/>
            <w:vAlign w:val="top"/>
            <w:shd w:fill="E5EFEC" w:val="clear"/>
          </w:tcPr>
          <w:p>
            <w:pPr>
              <w:pStyle w:val="TableText"/>
            </w:pPr>
            <w:r>
              <w:rPr>
                <w:b/>
                <w:sz w:val="17"/>
              </w:rPr>
              <w:t xml:space="preserve">Self-audit comment</w:t>
            </w:r>
          </w:p>
        </w:tc>
        <w:tc>
          <w:tcPr>
            <w:tcW w:w="2177" w:type="dxa"/>
            <w:vAlign w:val="top"/>
            <w:shd w:fill="E5EFEC" w:val="clear"/>
          </w:tcPr>
          <w:p>
            <w:pPr>
              <w:pStyle w:val="TableText"/>
            </w:pPr>
            <w:r>
              <w:rPr>
                <w:b/>
                <w:sz w:val="17"/>
              </w:rPr>
              <w:t xml:space="preserve">Өмнөх ноорог</w:t>
            </w:r>
          </w:p>
        </w:tc>
        <w:tc>
          <w:tcPr>
            <w:tcW w:w="2880" w:type="dxa"/>
            <w:vAlign w:val="top"/>
            <w:shd w:fill="E5EFEC" w:val="clear"/>
          </w:tcPr>
          <w:p>
            <w:pPr>
              <w:pStyle w:val="TableText"/>
            </w:pPr>
            <w:r>
              <w:rPr>
                <w:b/>
                <w:sz w:val="17"/>
              </w:rPr>
              <w:t xml:space="preserve">Засварласан үр дүн</w:t>
            </w:r>
          </w:p>
        </w:tc>
        <w:tc>
          <w:tcPr>
            <w:tcW w:w="2178" w:type="dxa"/>
            <w:vAlign w:val="top"/>
            <w:shd w:fill="E5EFEC" w:val="clear"/>
          </w:tcPr>
          <w:p>
            <w:pPr>
              <w:pStyle w:val="TableText"/>
            </w:pPr>
            <w:r>
              <w:rPr>
                <w:b/>
                <w:sz w:val="17"/>
              </w:rPr>
              <w:t xml:space="preserve">Evidence</w:t>
            </w:r>
          </w:p>
        </w:tc>
      </w:tr>
      <w:tr>
        <w:trPr>
          <w:cantSplit/>
        </w:trPr>
        <w:tc>
          <w:tcPr>
            <w:tcW w:w="2629" w:type="dxa"/>
            <w:vAlign w:val="top"/>
          </w:tcPr>
          <w:p>
            <w:pPr>
              <w:pStyle w:val="TableText"/>
            </w:pPr>
            <w:r>
              <w:rPr>
                <w:sz w:val="17"/>
              </w:rPr>
              <w:t xml:space="preserve">Нийт үнэ тодорхойгүй</w:t>
            </w:r>
          </w:p>
        </w:tc>
        <w:tc>
          <w:tcPr>
            <w:tcW w:w="2177" w:type="dxa"/>
            <w:vAlign w:val="top"/>
          </w:tcPr>
          <w:p>
            <w:pPr>
              <w:pStyle w:val="TableText"/>
            </w:pPr>
            <w:r>
              <w:rPr>
                <w:sz w:val="17"/>
              </w:rPr>
              <w:t xml:space="preserve">FR-07 “зөв үнэ”</w:t>
            </w:r>
          </w:p>
        </w:tc>
        <w:tc>
          <w:tcPr>
            <w:tcW w:w="2880" w:type="dxa"/>
            <w:vAlign w:val="top"/>
          </w:tcPr>
          <w:p>
            <w:pPr>
              <w:pStyle w:val="TableText"/>
            </w:pPr>
            <w:r>
              <w:rPr>
                <w:sz w:val="17"/>
              </w:rPr>
              <w:t xml:space="preserve">Subtotal + fee − discount; зөрүү 0₮</w:t>
            </w:r>
          </w:p>
        </w:tc>
        <w:tc>
          <w:tcPr>
            <w:tcW w:w="2178" w:type="dxa"/>
            <w:vAlign w:val="top"/>
          </w:tcPr>
          <w:p>
            <w:pPr>
              <w:pStyle w:val="TableText"/>
            </w:pPr>
            <w:r>
              <w:rPr>
                <w:sz w:val="17"/>
              </w:rPr>
              <w:t xml:space="preserve">TC-FR07</w:t>
            </w:r>
          </w:p>
        </w:tc>
      </w:tr>
      <w:tr>
        <w:trPr>
          <w:cantSplit/>
        </w:trPr>
        <w:tc>
          <w:tcPr>
            <w:tcW w:w="2629" w:type="dxa"/>
            <w:vAlign w:val="top"/>
            <w:shd w:fill="F6F9FA" w:val="clear"/>
          </w:tcPr>
          <w:p>
            <w:pPr>
              <w:pStyle w:val="TableText"/>
            </w:pPr>
            <w:r>
              <w:rPr>
                <w:sz w:val="17"/>
              </w:rPr>
              <w:t xml:space="preserve">Давтан хүсэлтийн үр дүн тодорхойгүй</w:t>
            </w:r>
          </w:p>
        </w:tc>
        <w:tc>
          <w:tcPr>
            <w:tcW w:w="2177" w:type="dxa"/>
            <w:vAlign w:val="top"/>
            <w:shd w:fill="F6F9FA" w:val="clear"/>
          </w:tcPr>
          <w:p>
            <w:pPr>
              <w:pStyle w:val="TableText"/>
            </w:pPr>
            <w:r>
              <w:rPr>
                <w:sz w:val="17"/>
              </w:rPr>
              <w:t xml:space="preserve">FR-11 “order үүсгэнэ”</w:t>
            </w:r>
          </w:p>
        </w:tc>
        <w:tc>
          <w:tcPr>
            <w:tcW w:w="2880" w:type="dxa"/>
            <w:vAlign w:val="top"/>
            <w:shd w:fill="F6F9FA" w:val="clear"/>
          </w:tcPr>
          <w:p>
            <w:pPr>
              <w:pStyle w:val="TableText"/>
            </w:pPr>
            <w:r>
              <w:rPr>
                <w:sz w:val="17"/>
              </w:rPr>
              <w:t xml:space="preserve">Ижил key + payload → нэг order; DB count=1</w:t>
            </w:r>
          </w:p>
        </w:tc>
        <w:tc>
          <w:tcPr>
            <w:tcW w:w="2178" w:type="dxa"/>
            <w:vAlign w:val="top"/>
            <w:shd w:fill="F6F9FA" w:val="clear"/>
          </w:tcPr>
          <w:p>
            <w:pPr>
              <w:pStyle w:val="TableText"/>
            </w:pPr>
            <w:r>
              <w:rPr>
                <w:sz w:val="17"/>
              </w:rPr>
              <w:t xml:space="preserve">TC-FR11; NFR-02</w:t>
            </w:r>
          </w:p>
        </w:tc>
      </w:tr>
      <w:tr>
        <w:trPr>
          <w:cantSplit/>
        </w:trPr>
        <w:tc>
          <w:tcPr>
            <w:tcW w:w="2629" w:type="dxa"/>
            <w:vAlign w:val="top"/>
          </w:tcPr>
          <w:p>
            <w:pPr>
              <w:pStyle w:val="TableText"/>
            </w:pPr>
            <w:r>
              <w:rPr>
                <w:sz w:val="17"/>
              </w:rPr>
              <w:t xml:space="preserve">Өөр хэрэглэгчийн хил алга</w:t>
            </w:r>
          </w:p>
        </w:tc>
        <w:tc>
          <w:tcPr>
            <w:tcW w:w="2177" w:type="dxa"/>
            <w:vAlign w:val="top"/>
          </w:tcPr>
          <w:p>
            <w:pPr>
              <w:pStyle w:val="TableText"/>
            </w:pPr>
            <w:r>
              <w:rPr>
                <w:sz w:val="17"/>
              </w:rPr>
              <w:t xml:space="preserve">FR-12 “төлөв харах”</w:t>
            </w:r>
          </w:p>
        </w:tc>
        <w:tc>
          <w:tcPr>
            <w:tcW w:w="2880" w:type="dxa"/>
            <w:vAlign w:val="top"/>
          </w:tcPr>
          <w:p>
            <w:pPr>
              <w:pStyle w:val="TableText"/>
            </w:pPr>
            <w:r>
              <w:rPr>
                <w:sz w:val="17"/>
              </w:rPr>
              <w:t xml:space="preserve">Өөрийн order; foreign 403/404; data=0</w:t>
            </w:r>
          </w:p>
        </w:tc>
        <w:tc>
          <w:tcPr>
            <w:tcW w:w="2178" w:type="dxa"/>
            <w:vAlign w:val="top"/>
          </w:tcPr>
          <w:p>
            <w:pPr>
              <w:pStyle w:val="TableText"/>
            </w:pPr>
            <w:r>
              <w:rPr>
                <w:sz w:val="17"/>
              </w:rPr>
              <w:t xml:space="preserve">TC-FR12; NFR-03</w:t>
            </w:r>
          </w:p>
        </w:tc>
      </w:tr>
    </w:tbl>
    <w:p>
      <w:pPr>
        <w:pStyle w:val="Gap"/>
      </w:pPr>
    </w:p>
    <w:p>
      <w:pPr>
        <w:pStyle w:val="Normal"/>
      </w:pPr>
      <w:r>
        <w:rPr/>
        <w:t xml:space="preserve">Энэ нь өөрийн редакцийн шалгалт. Хуучин PDF-д “reviewer comment” гэсэн хүснэгт байсан ч reviewer нэр, өдөр, comment link нотлогдоогүй. Шинэ DOCX үүнийг self-audit гэж зөв ялгасан тул бодит peer team-ийн ≥3 comment биелсэн гэж тооцоогүй.</w:t>
      </w:r>
    </w:p>
    <w:p>
      <w:pPr>
        <w:pStyle w:val="Normal"/>
      </w:pPr>
      <w:r>
        <w:rPr/>
        <w:t xml:space="preserve">Бодит review хийхэд доорх мөрийг санал бүрээр бөглөнө. Саналыг rejected болгох нь боломжтой; яагаад гэдгийг заавал тайлбарлана.</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1628"/>
        <w:gridCol w:w="1628"/>
        <w:gridCol w:w="1726"/>
        <w:gridCol w:w="1628"/>
        <w:gridCol w:w="1628"/>
        <w:gridCol w:w="1626"/>
      </w:tblGrid>
      <w:tr>
        <w:trPr>
          <w:cantSplit/>
          <w:tblHeader/>
        </w:trPr>
        <w:tc>
          <w:tcPr>
            <w:tcW w:w="1628" w:type="dxa"/>
            <w:vAlign w:val="top"/>
            <w:shd w:fill="E5EFEC" w:val="clear"/>
          </w:tcPr>
          <w:p>
            <w:pPr>
              <w:pStyle w:val="TableText"/>
            </w:pPr>
            <w:r>
              <w:rPr>
                <w:b/>
                <w:sz w:val="17"/>
              </w:rPr>
              <w:t xml:space="preserve">Review ID</w:t>
            </w:r>
          </w:p>
        </w:tc>
        <w:tc>
          <w:tcPr>
            <w:tcW w:w="1628" w:type="dxa"/>
            <w:vAlign w:val="top"/>
            <w:shd w:fill="E5EFEC" w:val="clear"/>
          </w:tcPr>
          <w:p>
            <w:pPr>
              <w:pStyle w:val="TableText"/>
            </w:pPr>
            <w:r>
              <w:rPr>
                <w:b/>
                <w:sz w:val="17"/>
              </w:rPr>
              <w:t xml:space="preserve">Reviewer / date</w:t>
            </w:r>
          </w:p>
        </w:tc>
        <w:tc>
          <w:tcPr>
            <w:tcW w:w="1726" w:type="dxa"/>
            <w:vAlign w:val="top"/>
            <w:shd w:fill="E5EFEC" w:val="clear"/>
          </w:tcPr>
          <w:p>
            <w:pPr>
              <w:pStyle w:val="TableText"/>
            </w:pPr>
            <w:r>
              <w:rPr>
                <w:b/>
                <w:sz w:val="17"/>
              </w:rPr>
              <w:t xml:space="preserve">Confluence эсвэл PR comment</w:t>
            </w:r>
          </w:p>
        </w:tc>
        <w:tc>
          <w:tcPr>
            <w:tcW w:w="1628" w:type="dxa"/>
            <w:vAlign w:val="top"/>
            <w:shd w:fill="E5EFEC" w:val="clear"/>
          </w:tcPr>
          <w:p>
            <w:pPr>
              <w:pStyle w:val="TableText"/>
            </w:pPr>
            <w:r>
              <w:rPr>
                <w:b/>
                <w:sz w:val="17"/>
              </w:rPr>
              <w:t xml:space="preserve">Requirement</w:t>
            </w:r>
          </w:p>
        </w:tc>
        <w:tc>
          <w:tcPr>
            <w:tcW w:w="1628" w:type="dxa"/>
            <w:vAlign w:val="top"/>
            <w:shd w:fill="E5EFEC" w:val="clear"/>
          </w:tcPr>
          <w:p>
            <w:pPr>
              <w:pStyle w:val="TableText"/>
            </w:pPr>
            <w:r>
              <w:rPr>
                <w:b/>
                <w:sz w:val="17"/>
              </w:rPr>
              <w:t xml:space="preserve">Decision / rationale</w:t>
            </w:r>
          </w:p>
        </w:tc>
        <w:tc>
          <w:tcPr>
            <w:tcW w:w="1626" w:type="dxa"/>
            <w:vAlign w:val="top"/>
            <w:shd w:fill="E5EFEC" w:val="clear"/>
          </w:tcPr>
          <w:p>
            <w:pPr>
              <w:pStyle w:val="TableText"/>
            </w:pPr>
            <w:r>
              <w:rPr>
                <w:b/>
                <w:sz w:val="17"/>
              </w:rPr>
              <w:t xml:space="preserve">Commit / verification</w:t>
            </w:r>
          </w:p>
        </w:tc>
      </w:tr>
      <w:tr>
        <w:trPr>
          <w:cantSplit/>
        </w:trPr>
        <w:tc>
          <w:tcPr>
            <w:tcW w:w="1628" w:type="dxa"/>
            <w:vAlign w:val="top"/>
          </w:tcPr>
          <w:p>
            <w:pPr>
              <w:pStyle w:val="TableText"/>
            </w:pPr>
            <w:r>
              <w:rPr>
                <w:sz w:val="17"/>
              </w:rPr>
              <w:t xml:space="preserve">PR-W03-01</w:t>
            </w:r>
          </w:p>
        </w:tc>
        <w:tc>
          <w:tcPr>
            <w:tcW w:w="1628" w:type="dxa"/>
            <w:vAlign w:val="top"/>
          </w:tcPr>
          <w:p>
            <w:pPr>
              <w:pStyle w:val="TableText"/>
            </w:pPr>
            <w:r>
              <w:rPr>
                <w:sz w:val="17"/>
              </w:rPr>
              <w:t xml:space="preserve">Pending</w:t>
            </w:r>
          </w:p>
        </w:tc>
        <w:tc>
          <w:tcPr>
            <w:tcW w:w="1726" w:type="dxa"/>
            <w:vAlign w:val="top"/>
          </w:tcPr>
          <w:p>
            <w:pPr>
              <w:pStyle w:val="TableText"/>
            </w:pPr>
            <w:r>
              <w:rPr>
                <w:sz w:val="17"/>
              </w:rPr>
              <w:t xml:space="preserve">Pending</w:t>
            </w:r>
          </w:p>
        </w:tc>
        <w:tc>
          <w:tcPr>
            <w:tcW w:w="1628" w:type="dxa"/>
            <w:vAlign w:val="top"/>
          </w:tcPr>
          <w:p>
            <w:pPr>
              <w:pStyle w:val="TableText"/>
            </w:pPr>
            <w:r>
              <w:rPr>
                <w:sz w:val="17"/>
              </w:rPr>
              <w:t xml:space="preserve">Pending</w:t>
            </w:r>
          </w:p>
        </w:tc>
        <w:tc>
          <w:tcPr>
            <w:tcW w:w="1628" w:type="dxa"/>
            <w:vAlign w:val="top"/>
          </w:tcPr>
          <w:p>
            <w:pPr>
              <w:pStyle w:val="TableText"/>
            </w:pPr>
            <w:r>
              <w:rPr>
                <w:sz w:val="17"/>
              </w:rPr>
              <w:t xml:space="preserve">Pending</w:t>
            </w:r>
          </w:p>
        </w:tc>
        <w:tc>
          <w:tcPr>
            <w:tcW w:w="1626" w:type="dxa"/>
            <w:vAlign w:val="top"/>
          </w:tcPr>
          <w:p>
            <w:pPr>
              <w:pStyle w:val="TableText"/>
            </w:pPr>
            <w:r>
              <w:rPr>
                <w:sz w:val="17"/>
              </w:rPr>
              <w:t xml:space="preserve">Pending</w:t>
            </w:r>
          </w:p>
        </w:tc>
      </w:tr>
      <w:tr>
        <w:trPr>
          <w:cantSplit/>
        </w:trPr>
        <w:tc>
          <w:tcPr>
            <w:tcW w:w="1628" w:type="dxa"/>
            <w:vAlign w:val="top"/>
            <w:shd w:fill="F6F9FA" w:val="clear"/>
          </w:tcPr>
          <w:p>
            <w:pPr>
              <w:pStyle w:val="TableText"/>
            </w:pPr>
            <w:r>
              <w:rPr>
                <w:sz w:val="17"/>
              </w:rPr>
              <w:t xml:space="preserve">PR-W03-02</w:t>
            </w:r>
          </w:p>
        </w:tc>
        <w:tc>
          <w:tcPr>
            <w:tcW w:w="1628" w:type="dxa"/>
            <w:vAlign w:val="top"/>
            <w:shd w:fill="F6F9FA" w:val="clear"/>
          </w:tcPr>
          <w:p>
            <w:pPr>
              <w:pStyle w:val="TableText"/>
            </w:pPr>
            <w:r>
              <w:rPr>
                <w:sz w:val="17"/>
              </w:rPr>
              <w:t xml:space="preserve">Pending</w:t>
            </w:r>
          </w:p>
        </w:tc>
        <w:tc>
          <w:tcPr>
            <w:tcW w:w="1726" w:type="dxa"/>
            <w:vAlign w:val="top"/>
            <w:shd w:fill="F6F9FA" w:val="clear"/>
          </w:tcPr>
          <w:p>
            <w:pPr>
              <w:pStyle w:val="TableText"/>
            </w:pPr>
            <w:r>
              <w:rPr>
                <w:sz w:val="17"/>
              </w:rPr>
              <w:t xml:space="preserve">Pending</w:t>
            </w:r>
          </w:p>
        </w:tc>
        <w:tc>
          <w:tcPr>
            <w:tcW w:w="1628" w:type="dxa"/>
            <w:vAlign w:val="top"/>
            <w:shd w:fill="F6F9FA" w:val="clear"/>
          </w:tcPr>
          <w:p>
            <w:pPr>
              <w:pStyle w:val="TableText"/>
            </w:pPr>
            <w:r>
              <w:rPr>
                <w:sz w:val="17"/>
              </w:rPr>
              <w:t xml:space="preserve">Pending</w:t>
            </w:r>
          </w:p>
        </w:tc>
        <w:tc>
          <w:tcPr>
            <w:tcW w:w="1628" w:type="dxa"/>
            <w:vAlign w:val="top"/>
            <w:shd w:fill="F6F9FA" w:val="clear"/>
          </w:tcPr>
          <w:p>
            <w:pPr>
              <w:pStyle w:val="TableText"/>
            </w:pPr>
            <w:r>
              <w:rPr>
                <w:sz w:val="17"/>
              </w:rPr>
              <w:t xml:space="preserve">Pending</w:t>
            </w:r>
          </w:p>
        </w:tc>
        <w:tc>
          <w:tcPr>
            <w:tcW w:w="1626" w:type="dxa"/>
            <w:vAlign w:val="top"/>
            <w:shd w:fill="F6F9FA" w:val="clear"/>
          </w:tcPr>
          <w:p>
            <w:pPr>
              <w:pStyle w:val="TableText"/>
            </w:pPr>
            <w:r>
              <w:rPr>
                <w:sz w:val="17"/>
              </w:rPr>
              <w:t xml:space="preserve">Pending</w:t>
            </w:r>
          </w:p>
        </w:tc>
      </w:tr>
      <w:tr>
        <w:trPr>
          <w:cantSplit/>
        </w:trPr>
        <w:tc>
          <w:tcPr>
            <w:tcW w:w="1628" w:type="dxa"/>
            <w:vAlign w:val="top"/>
          </w:tcPr>
          <w:p>
            <w:pPr>
              <w:pStyle w:val="TableText"/>
            </w:pPr>
            <w:r>
              <w:rPr>
                <w:sz w:val="17"/>
              </w:rPr>
              <w:t xml:space="preserve">PR-W03-03</w:t>
            </w:r>
          </w:p>
        </w:tc>
        <w:tc>
          <w:tcPr>
            <w:tcW w:w="1628" w:type="dxa"/>
            <w:vAlign w:val="top"/>
          </w:tcPr>
          <w:p>
            <w:pPr>
              <w:pStyle w:val="TableText"/>
            </w:pPr>
            <w:r>
              <w:rPr>
                <w:sz w:val="17"/>
              </w:rPr>
              <w:t xml:space="preserve">Pending</w:t>
            </w:r>
          </w:p>
        </w:tc>
        <w:tc>
          <w:tcPr>
            <w:tcW w:w="1726" w:type="dxa"/>
            <w:vAlign w:val="top"/>
          </w:tcPr>
          <w:p>
            <w:pPr>
              <w:pStyle w:val="TableText"/>
            </w:pPr>
            <w:r>
              <w:rPr>
                <w:sz w:val="17"/>
              </w:rPr>
              <w:t xml:space="preserve">Pending</w:t>
            </w:r>
          </w:p>
        </w:tc>
        <w:tc>
          <w:tcPr>
            <w:tcW w:w="1628" w:type="dxa"/>
            <w:vAlign w:val="top"/>
          </w:tcPr>
          <w:p>
            <w:pPr>
              <w:pStyle w:val="TableText"/>
            </w:pPr>
            <w:r>
              <w:rPr>
                <w:sz w:val="17"/>
              </w:rPr>
              <w:t xml:space="preserve">Pending</w:t>
            </w:r>
          </w:p>
        </w:tc>
        <w:tc>
          <w:tcPr>
            <w:tcW w:w="1628" w:type="dxa"/>
            <w:vAlign w:val="top"/>
          </w:tcPr>
          <w:p>
            <w:pPr>
              <w:pStyle w:val="TableText"/>
            </w:pPr>
            <w:r>
              <w:rPr>
                <w:sz w:val="17"/>
              </w:rPr>
              <w:t xml:space="preserve">Pending</w:t>
            </w:r>
          </w:p>
        </w:tc>
        <w:tc>
          <w:tcPr>
            <w:tcW w:w="1626" w:type="dxa"/>
            <w:vAlign w:val="top"/>
          </w:tcPr>
          <w:p>
            <w:pPr>
              <w:pStyle w:val="TableText"/>
            </w:pPr>
            <w:r>
              <w:rPr>
                <w:sz w:val="17"/>
              </w:rPr>
              <w:t xml:space="preserve">Pending</w:t>
            </w:r>
          </w:p>
        </w:tc>
      </w:tr>
    </w:tbl>
    <w:p>
      <w:pPr>
        <w:pStyle w:val="Gap"/>
      </w:pPr>
    </w:p>
    <w:p>
      <w:pPr>
        <w:pStyle w:val="Normal"/>
      </w:pPr>
      <w:r>
        <w:rPr/>
        <w:t xml:space="preserve">GitHub review нь энэ repository-ийн ирээдүйн ажлын үндсэн урсгал; handout Confluence comment шаардсан бол course workspace-д тэр холбоосыг тусад нь бүртгэнэ. GitHub дээр баримт байгаа нь LMS/course milestone автоматаар биелсэн гэсэн үг биш.</w:t>
      </w:r>
    </w:p>
    <w:p>
      <w:pPr>
        <w:pStyle w:val="Heading2"/>
      </w:pPr>
      <w:r>
        <w:rPr/>
        <w:t xml:space="preserve">UE-3 — Corg.ly Pet Translation API</w:t>
      </w:r>
    </w:p>
    <w:p>
      <w:pPr>
        <w:pStyle w:val="Normal"/>
      </w:pPr>
      <w:r>
        <w:rPr/>
        <w:t xml:space="preserve">Corg.ly бол handout-ийн тусдаа зохиомол нөхцөл. Доорх endpoint, language policy, error code, retry нь </w:t>
      </w:r>
      <w:r>
        <w:rPr>
          <w:b/>
        </w:rPr>
        <w:t xml:space="preserve">Charlotte-ийн launch-д зориулсан proposal</w:t>
      </w:r>
      <w:r>
        <w:rPr/>
        <w:t xml:space="preserve">; бодит үйлчилгээний батлагдсан гэрээ биш. FoodFlow SRS-ийн 20 шаардлагад нэмэхгүй.</w:t>
      </w:r>
    </w:p>
    <w:p>
      <w:pPr>
        <w:pStyle w:val="Heading3"/>
      </w:pPr>
      <w:r>
        <w:rPr/>
        <w:t xml:space="preserve">Таван FR — хамгийн чухал мэдээлэл эхэнд</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137"/>
        <w:gridCol w:w="3408"/>
        <w:gridCol w:w="4319"/>
      </w:tblGrid>
      <w:tr>
        <w:trPr>
          <w:cantSplit/>
          <w:tblHeader/>
        </w:trPr>
        <w:tc>
          <w:tcPr>
            <w:tcW w:w="2137" w:type="dxa"/>
            <w:vAlign w:val="top"/>
            <w:shd w:fill="E5EFEC" w:val="clear"/>
          </w:tcPr>
          <w:p>
            <w:pPr>
              <w:pStyle w:val="TableText"/>
            </w:pPr>
            <w:r>
              <w:rPr>
                <w:b/>
                <w:sz w:val="18"/>
              </w:rPr>
              <w:t xml:space="preserve">ID</w:t>
            </w:r>
          </w:p>
        </w:tc>
        <w:tc>
          <w:tcPr>
            <w:tcW w:w="3408" w:type="dxa"/>
            <w:vAlign w:val="top"/>
            <w:shd w:fill="E5EFEC" w:val="clear"/>
          </w:tcPr>
          <w:p>
            <w:pPr>
              <w:pStyle w:val="TableText"/>
            </w:pPr>
            <w:r>
              <w:rPr>
                <w:b/>
                <w:sz w:val="18"/>
              </w:rPr>
              <w:t xml:space="preserve">Үр дүнгээр эхэлсэн шаардлага</w:t>
            </w:r>
          </w:p>
        </w:tc>
        <w:tc>
          <w:tcPr>
            <w:tcW w:w="4319" w:type="dxa"/>
            <w:vAlign w:val="top"/>
            <w:shd w:fill="E5EFEC" w:val="clear"/>
          </w:tcPr>
          <w:p>
            <w:pPr>
              <w:pStyle w:val="TableText"/>
            </w:pPr>
            <w:r>
              <w:rPr>
                <w:b/>
                <w:sz w:val="18"/>
              </w:rPr>
              <w:t xml:space="preserve">Test procedure / Pass-Fail</w:t>
            </w:r>
          </w:p>
        </w:tc>
      </w:tr>
      <w:tr>
        <w:trPr>
          <w:cantSplit/>
        </w:trPr>
        <w:tc>
          <w:tcPr>
            <w:tcW w:w="2137" w:type="dxa"/>
            <w:vAlign w:val="top"/>
          </w:tcPr>
          <w:p>
            <w:pPr>
              <w:pStyle w:val="TableText"/>
            </w:pPr>
            <w:r>
              <w:rPr>
                <w:sz w:val="18"/>
              </w:rPr>
              <w:t xml:space="preserve">C-FR-01</w:t>
            </w:r>
          </w:p>
        </w:tc>
        <w:tc>
          <w:tcPr>
            <w:tcW w:w="3408" w:type="dxa"/>
            <w:vAlign w:val="top"/>
          </w:tcPr>
          <w:p>
            <w:pPr>
              <w:pStyle w:val="TableText"/>
            </w:pPr>
            <w:r>
              <w:rPr>
                <w:sz w:val="18"/>
              </w:rPr>
              <w:t xml:space="preserve">Developer хүчинтэй API key-ээр translate үйлдэл ашиглаж чадна</w:t>
            </w:r>
          </w:p>
        </w:tc>
        <w:tc>
          <w:tcPr>
            <w:tcW w:w="4319" w:type="dxa"/>
            <w:vAlign w:val="top"/>
          </w:tcPr>
          <w:p>
            <w:pPr>
              <w:pStyle w:val="TableText"/>
            </w:pPr>
            <w:r>
              <w:rPr>
                <w:sz w:val="18"/>
              </w:rPr>
              <w:t xml:space="preserve">Ижил valid body-той POST </w:t>
            </w:r>
            <w:r>
              <w:rPr>
                <w:rFonts w:ascii="Consolas" w:hAnsi="Consolas" w:cs="Consolas"/>
                <w:shd w:fill="F0F5F3" w:val="clear"/>
                <w:sz w:val="18"/>
              </w:rPr>
              <w:t xml:space="preserve">/v1/translate</w:t>
            </w:r>
            <w:r>
              <w:rPr>
                <w:sz w:val="18"/>
              </w:rPr>
              <w:t xml:space="preserve">: зөв Bearer key →200, key-гүй →401; бусад үр дүн Fail</w:t>
            </w:r>
          </w:p>
        </w:tc>
      </w:tr>
      <w:tr>
        <w:trPr>
          <w:cantSplit/>
        </w:trPr>
        <w:tc>
          <w:tcPr>
            <w:tcW w:w="2137" w:type="dxa"/>
            <w:vAlign w:val="top"/>
            <w:shd w:fill="F6F9FA" w:val="clear"/>
          </w:tcPr>
          <w:p>
            <w:pPr>
              <w:pStyle w:val="TableText"/>
            </w:pPr>
            <w:r>
              <w:rPr>
                <w:sz w:val="18"/>
              </w:rPr>
              <w:t xml:space="preserve">C-FR-02</w:t>
            </w:r>
          </w:p>
        </w:tc>
        <w:tc>
          <w:tcPr>
            <w:tcW w:w="3408" w:type="dxa"/>
            <w:vAlign w:val="top"/>
            <w:shd w:fill="F6F9FA" w:val="clear"/>
          </w:tcPr>
          <w:p>
            <w:pPr>
              <w:pStyle w:val="TableText"/>
            </w:pPr>
            <w:r>
              <w:rPr>
                <w:sz w:val="18"/>
              </w:rPr>
              <w:t xml:space="preserve">Valid text, sourceLanguage, targetLanguage-ийн хариунд орчуулсан текст харагдана</w:t>
            </w:r>
          </w:p>
        </w:tc>
        <w:tc>
          <w:tcPr>
            <w:tcW w:w="4319" w:type="dxa"/>
            <w:vAlign w:val="top"/>
            <w:shd w:fill="F6F9FA" w:val="clear"/>
          </w:tcPr>
          <w:p>
            <w:pPr>
              <w:pStyle w:val="TableText"/>
            </w:pPr>
            <w:r>
              <w:rPr>
                <w:sz w:val="18"/>
              </w:rPr>
              <w:t xml:space="preserve">3 required field-тэй JSON →200 + nonempty </w:t>
            </w:r>
            <w:r>
              <w:rPr>
                <w:rFonts w:ascii="Consolas" w:hAnsi="Consolas" w:cs="Consolas"/>
                <w:shd w:fill="F0F5F3" w:val="clear"/>
                <w:sz w:val="18"/>
              </w:rPr>
              <w:t xml:space="preserve">translation</w:t>
            </w:r>
            <w:r>
              <w:rPr>
                <w:sz w:val="18"/>
              </w:rPr>
              <w:t xml:space="preserve">; empty text →400; invalid body-д success=0</w:t>
            </w:r>
          </w:p>
        </w:tc>
      </w:tr>
      <w:tr>
        <w:trPr>
          <w:cantSplit/>
        </w:trPr>
        <w:tc>
          <w:tcPr>
            <w:tcW w:w="2137" w:type="dxa"/>
            <w:vAlign w:val="top"/>
          </w:tcPr>
          <w:p>
            <w:pPr>
              <w:pStyle w:val="TableText"/>
            </w:pPr>
            <w:r>
              <w:rPr>
                <w:sz w:val="18"/>
              </w:rPr>
              <w:t xml:space="preserve">C-FR-03</w:t>
            </w:r>
          </w:p>
        </w:tc>
        <w:tc>
          <w:tcPr>
            <w:tcW w:w="3408" w:type="dxa"/>
            <w:vAlign w:val="top"/>
          </w:tcPr>
          <w:p>
            <w:pPr>
              <w:pStyle w:val="TableText"/>
            </w:pPr>
            <w:r>
              <w:rPr>
                <w:sz w:val="18"/>
              </w:rPr>
              <w:t xml:space="preserve">Дэмжигдээгүй хэлд developer ойлгомжтой error code авна</w:t>
            </w:r>
          </w:p>
        </w:tc>
        <w:tc>
          <w:tcPr>
            <w:tcW w:w="4319" w:type="dxa"/>
            <w:vAlign w:val="top"/>
          </w:tcPr>
          <w:p>
            <w:pPr>
              <w:pStyle w:val="TableText"/>
            </w:pPr>
            <w:r>
              <w:rPr>
                <w:sz w:val="18"/>
              </w:rPr>
              <w:t xml:space="preserve">Approved language fixture-д байхгүй </w:t>
            </w:r>
            <w:r>
              <w:rPr>
                <w:rFonts w:ascii="Consolas" w:hAnsi="Consolas" w:cs="Consolas"/>
                <w:shd w:fill="F0F5F3" w:val="clear"/>
                <w:sz w:val="18"/>
              </w:rPr>
              <w:t xml:space="preserve">xx</w:t>
            </w:r>
            <w:r>
              <w:rPr>
                <w:sz w:val="18"/>
              </w:rPr>
              <w:t xml:space="preserve"> →422 + </w:t>
            </w:r>
            <w:r>
              <w:rPr>
                <w:rFonts w:ascii="Consolas" w:hAnsi="Consolas" w:cs="Consolas"/>
                <w:shd w:fill="F0F5F3" w:val="clear"/>
                <w:sz w:val="18"/>
              </w:rPr>
              <w:t xml:space="preserve">unsupported_language</w:t>
            </w:r>
            <w:r>
              <w:rPr>
                <w:sz w:val="18"/>
              </w:rPr>
              <w:t xml:space="preserve">; translation=0; өөр үр дүн Fail</w:t>
            </w:r>
          </w:p>
        </w:tc>
      </w:tr>
      <w:tr>
        <w:trPr>
          <w:cantSplit/>
        </w:trPr>
        <w:tc>
          <w:tcPr>
            <w:tcW w:w="2137" w:type="dxa"/>
            <w:vAlign w:val="top"/>
            <w:shd w:fill="F6F9FA" w:val="clear"/>
          </w:tcPr>
          <w:p>
            <w:pPr>
              <w:pStyle w:val="TableText"/>
            </w:pPr>
            <w:r>
              <w:rPr>
                <w:sz w:val="18"/>
              </w:rPr>
              <w:t xml:space="preserve">C-FR-04</w:t>
            </w:r>
          </w:p>
        </w:tc>
        <w:tc>
          <w:tcPr>
            <w:tcW w:w="3408" w:type="dxa"/>
            <w:vAlign w:val="top"/>
            <w:shd w:fill="F6F9FA" w:val="clear"/>
          </w:tcPr>
          <w:p>
            <w:pPr>
              <w:pStyle w:val="TableText"/>
            </w:pPr>
            <w:r>
              <w:rPr>
                <w:sz w:val="18"/>
              </w:rPr>
              <w:t xml:space="preserve">Түр алдааны дараа хүсэлтийг хязгаартай retry хийж болно</w:t>
            </w:r>
          </w:p>
        </w:tc>
        <w:tc>
          <w:tcPr>
            <w:tcW w:w="4319" w:type="dxa"/>
            <w:vAlign w:val="top"/>
            <w:shd w:fill="F6F9FA" w:val="clear"/>
          </w:tcPr>
          <w:p>
            <w:pPr>
              <w:pStyle w:val="TableText"/>
            </w:pPr>
            <w:r>
              <w:rPr>
                <w:sz w:val="18"/>
              </w:rPr>
              <w:t xml:space="preserve">Stub 503→200; policy-ийн дээд 3 attempt; 401 / validation 4xx-д retry=0; хязгаар давбал Fail</w:t>
            </w:r>
          </w:p>
        </w:tc>
      </w:tr>
      <w:tr>
        <w:trPr>
          <w:cantSplit/>
        </w:trPr>
        <w:tc>
          <w:tcPr>
            <w:tcW w:w="2137" w:type="dxa"/>
            <w:vAlign w:val="top"/>
          </w:tcPr>
          <w:p>
            <w:pPr>
              <w:pStyle w:val="TableText"/>
            </w:pPr>
            <w:r>
              <w:rPr>
                <w:sz w:val="18"/>
              </w:rPr>
              <w:t xml:space="preserve">C-FR-05</w:t>
            </w:r>
          </w:p>
        </w:tc>
        <w:tc>
          <w:tcPr>
            <w:tcW w:w="3408" w:type="dxa"/>
            <w:vAlign w:val="top"/>
          </w:tcPr>
          <w:p>
            <w:pPr>
              <w:pStyle w:val="TableText"/>
            </w:pPr>
            <w:r>
              <w:rPr>
                <w:sz w:val="18"/>
              </w:rPr>
              <w:t xml:space="preserve">Rate limit хүрсэн үед developer дахин оролдох хугацааг мэднэ</w:t>
            </w:r>
          </w:p>
        </w:tc>
        <w:tc>
          <w:tcPr>
            <w:tcW w:w="4319" w:type="dxa"/>
            <w:vAlign w:val="top"/>
          </w:tcPr>
          <w:p>
            <w:pPr>
              <w:pStyle w:val="TableText"/>
            </w:pPr>
            <w:r>
              <w:rPr>
                <w:sz w:val="18"/>
              </w:rPr>
              <w:t xml:space="preserve">Stub 429 → valid numeric </w:t>
            </w:r>
            <w:r>
              <w:rPr>
                <w:rFonts w:ascii="Consolas" w:hAnsi="Consolas" w:cs="Consolas"/>
                <w:shd w:fill="F0F5F3" w:val="clear"/>
                <w:sz w:val="18"/>
              </w:rPr>
              <w:t xml:space="preserve">Retry-After</w:t>
            </w:r>
            <w:r>
              <w:rPr>
                <w:sz w:val="18"/>
              </w:rPr>
              <w:t xml:space="preserve">; client заасан хугацаанаас өмнө retry хийхгүй; field-гүй / эрт retry бол Fail</w:t>
            </w:r>
          </w:p>
        </w:tc>
      </w:tr>
    </w:tbl>
    <w:p>
      <w:pPr>
        <w:pStyle w:val="Gap"/>
      </w:pPr>
    </w:p>
    <w:p>
      <w:pPr>
        <w:pStyle w:val="Normal"/>
      </w:pPr>
      <w:r>
        <w:rPr/>
        <w:t xml:space="preserve">Key авах арга, дэмжих хэлний жагсаалт, error status, timeout, retry attempt-ийн утгыг API эзэн батлах ёстой. “Нийт 3 attempt” ба “эхнийхээс хойш 3 retry” нь өөр утгатай тул гэрээнд нэгийг сонгоно.</w:t>
      </w:r>
    </w:p>
    <w:p>
      <w:pPr>
        <w:pStyle w:val="Heading3"/>
      </w:pPr>
      <w:r>
        <w:rPr/>
        <w:t xml:space="preserve">AI хувилбарын гурван алдаа ба засвар</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733"/>
        <w:gridCol w:w="3179"/>
        <w:gridCol w:w="2952"/>
      </w:tblGrid>
      <w:tr>
        <w:trPr>
          <w:cantSplit/>
          <w:tblHeader/>
        </w:trPr>
        <w:tc>
          <w:tcPr>
            <w:tcW w:w="3733" w:type="dxa"/>
            <w:vAlign w:val="top"/>
            <w:shd w:fill="E5EFEC" w:val="clear"/>
          </w:tcPr>
          <w:p>
            <w:pPr>
              <w:pStyle w:val="TableText"/>
            </w:pPr>
            <w:r>
              <w:rPr>
                <w:b/>
                <w:sz w:val="18"/>
              </w:rPr>
              <w:t xml:space="preserve">AI candidate — сургалтын жишээ</w:t>
            </w:r>
          </w:p>
        </w:tc>
        <w:tc>
          <w:tcPr>
            <w:tcW w:w="3179" w:type="dxa"/>
            <w:vAlign w:val="top"/>
            <w:shd w:fill="E5EFEC" w:val="clear"/>
          </w:tcPr>
          <w:p>
            <w:pPr>
              <w:pStyle w:val="TableText"/>
            </w:pPr>
            <w:r>
              <w:rPr>
                <w:b/>
                <w:sz w:val="18"/>
              </w:rPr>
              <w:t xml:space="preserve">Concise / Usable зөрчил</w:t>
            </w:r>
          </w:p>
        </w:tc>
        <w:tc>
          <w:tcPr>
            <w:tcW w:w="2952" w:type="dxa"/>
            <w:vAlign w:val="top"/>
            <w:shd w:fill="E5EFEC" w:val="clear"/>
          </w:tcPr>
          <w:p>
            <w:pPr>
              <w:pStyle w:val="TableText"/>
            </w:pPr>
            <w:r>
              <w:rPr>
                <w:b/>
                <w:sz w:val="18"/>
              </w:rPr>
              <w:t xml:space="preserve">Засвар</w:t>
            </w:r>
          </w:p>
        </w:tc>
      </w:tr>
      <w:tr>
        <w:trPr>
          <w:cantSplit/>
        </w:trPr>
        <w:tc>
          <w:tcPr>
            <w:tcW w:w="3733" w:type="dxa"/>
            <w:vAlign w:val="top"/>
          </w:tcPr>
          <w:p>
            <w:pPr>
              <w:pStyle w:val="TableText"/>
            </w:pPr>
            <w:r>
              <w:rPr>
                <w:sz w:val="18"/>
              </w:rPr>
              <w:t xml:space="preserve">“The service provides a seamless and highly reliable authentication experience.”</w:t>
            </w:r>
          </w:p>
        </w:tc>
        <w:tc>
          <w:tcPr>
            <w:tcW w:w="3179" w:type="dxa"/>
            <w:vAlign w:val="top"/>
          </w:tcPr>
          <w:p>
            <w:pPr>
              <w:pStyle w:val="TableText"/>
            </w:pPr>
            <w:r>
              <w:rPr>
                <w:sz w:val="18"/>
              </w:rPr>
              <w:t xml:space="preserve">Үр дүн ба failure behavior алга; хэмжүүргүй магтаал</w:t>
            </w:r>
          </w:p>
        </w:tc>
        <w:tc>
          <w:tcPr>
            <w:tcW w:w="2952" w:type="dxa"/>
            <w:vAlign w:val="top"/>
          </w:tcPr>
          <w:p>
            <w:pPr>
              <w:pStyle w:val="TableText"/>
            </w:pPr>
            <w:r>
              <w:rPr>
                <w:sz w:val="18"/>
              </w:rPr>
              <w:t xml:space="preserve">C-FR-01: valid key →200, key-гүй →401</w:t>
            </w:r>
          </w:p>
        </w:tc>
      </w:tr>
      <w:tr>
        <w:trPr>
          <w:cantSplit/>
        </w:trPr>
        <w:tc>
          <w:tcPr>
            <w:tcW w:w="3733" w:type="dxa"/>
            <w:vAlign w:val="top"/>
            <w:shd w:fill="F6F9FA" w:val="clear"/>
          </w:tcPr>
          <w:p>
            <w:pPr>
              <w:pStyle w:val="TableText"/>
            </w:pPr>
            <w:r>
              <w:rPr>
                <w:sz w:val="18"/>
              </w:rPr>
              <w:t xml:space="preserve">“The API translates any pet message into every language.”</w:t>
            </w:r>
          </w:p>
        </w:tc>
        <w:tc>
          <w:tcPr>
            <w:tcW w:w="3179" w:type="dxa"/>
            <w:vAlign w:val="top"/>
            <w:shd w:fill="F6F9FA" w:val="clear"/>
          </w:tcPr>
          <w:p>
            <w:pPr>
              <w:pStyle w:val="TableText"/>
            </w:pPr>
            <w:r>
              <w:rPr>
                <w:sz w:val="18"/>
              </w:rPr>
              <w:t xml:space="preserve">“Any/every” нь батлагдаагүй хүрээ; хэт амлалт</w:t>
            </w:r>
          </w:p>
        </w:tc>
        <w:tc>
          <w:tcPr>
            <w:tcW w:w="2952" w:type="dxa"/>
            <w:vAlign w:val="top"/>
            <w:shd w:fill="F6F9FA" w:val="clear"/>
          </w:tcPr>
          <w:p>
            <w:pPr>
              <w:pStyle w:val="TableText"/>
            </w:pPr>
            <w:r>
              <w:rPr>
                <w:sz w:val="18"/>
              </w:rPr>
              <w:t xml:space="preserve">C-FR-03: approved language; unsupported →422</w:t>
            </w:r>
          </w:p>
        </w:tc>
      </w:tr>
      <w:tr>
        <w:trPr>
          <w:cantSplit/>
        </w:trPr>
        <w:tc>
          <w:tcPr>
            <w:tcW w:w="3733" w:type="dxa"/>
            <w:vAlign w:val="top"/>
          </w:tcPr>
          <w:p>
            <w:pPr>
              <w:pStyle w:val="TableText"/>
            </w:pPr>
            <w:r>
              <w:rPr>
                <w:sz w:val="18"/>
              </w:rPr>
              <w:t xml:space="preserve">“Retry all errors until it works.”</w:t>
            </w:r>
          </w:p>
        </w:tc>
        <w:tc>
          <w:tcPr>
            <w:tcW w:w="3179" w:type="dxa"/>
            <w:vAlign w:val="top"/>
          </w:tcPr>
          <w:p>
            <w:pPr>
              <w:pStyle w:val="TableText"/>
            </w:pPr>
            <w:r>
              <w:rPr>
                <w:sz w:val="18"/>
              </w:rPr>
              <w:t xml:space="preserve">Auth / validation алдааг дэмий давтана; хязгааргүй хүлээлт</w:t>
            </w:r>
          </w:p>
        </w:tc>
        <w:tc>
          <w:tcPr>
            <w:tcW w:w="2952" w:type="dxa"/>
            <w:vAlign w:val="top"/>
          </w:tcPr>
          <w:p>
            <w:pPr>
              <w:pStyle w:val="TableText"/>
            </w:pPr>
            <w:r>
              <w:rPr>
                <w:sz w:val="18"/>
              </w:rPr>
              <w:t xml:space="preserve">C-FR-04: transient 503; max 3 attempt; 4xx retry=0</w:t>
            </w:r>
          </w:p>
        </w:tc>
      </w:tr>
    </w:tbl>
    <w:p>
      <w:pPr>
        <w:pStyle w:val="Gap"/>
      </w:pPr>
    </w:p>
    <w:p>
      <w:pPr>
        <w:pStyle w:val="Normal"/>
      </w:pPr>
      <w:r>
        <w:rPr/>
        <w:t xml:space="preserve">Эдгээр нь эх материалын сургалтын AI өгүүлбэрүүд. Тусдаа GPT-4/Claude run-ийн date/model/prompt/output metadata pending хэвээр; handout-ийн model-specific evidence-ийг нөхөөгүй.</w:t>
      </w:r>
    </w:p>
    <w:p>
      <w:pPr>
        <w:pStyle w:val="Heading3"/>
      </w:pPr>
      <w:r>
        <w:rPr/>
        <w:t xml:space="preserve">Нэг нүүрт багтаах эргэцүүлэл</w:t>
      </w:r>
    </w:p>
    <w:p>
      <w:pPr>
        <w:pStyle w:val="Normal"/>
      </w:pPr>
      <w:r>
        <w:rPr/>
        <w:t xml:space="preserve">Charlotte-ийн хамгийн эхний ажил нь API-г “найдвартай, хэрэглэхэд амар” гэж тодорхойлох биш, хөгжүүлэгч эхний хүсэлтээ явуулж үр дүн харахад хэрэгтэй мэдээллийг эрэмбэлэх юм. Key хаанаас авах, ямар header хэрэглэх, JSON-ийн required талбарууд юу болох, success/error response ямар хэлбэртэйг нэг дарааллаар өгвөл уншигч өөрийн апптай холбох алхмаа ойлгоно. Bhatti-ийн гол мэдээллээ эхэнд бичих зарчим (Ch. 3, p. 58; handout-ийн заалт) нь requirement-ийг урт шалгалтын тайлбараар эхлүүлэхийн оронд харагдах үр дүнгээр эхлүүлэхэд тусална.</w:t>
      </w:r>
    </w:p>
    <w:p>
      <w:pPr>
        <w:pStyle w:val="Normal"/>
      </w:pPr>
      <w:r>
        <w:rPr/>
        <w:t xml:space="preserve">Гэвч тодорхой өгүүлбэр болгон үнэн байдаггүй. “Бүх хэл рүү орчуулна” гэсэн candidate нь уншихад амар ч бүтээгдэхүүний хүрээг хэтрүүлсэн байж болно. “503 үед ихдээ гурван удаа оролдоно” гэдэг нь шалгаж болохуйц болсон боловч API баг батлаагүй бол proposal хэвээр. Иймээс concise зарчмыг зөвхөн үгийн тоо цөөлөхөөр ойлгож болохгүй. Auth, unsupported language, rate limit, transient error зэрэг уншигчийн дараагийн үйлдэлд нөлөөлөх нөхцөлийг хасвал богино текст ашиггүй болно. Usable баримт нь тухайн алдаанд яг юу хийхийг хэлэх ёстой.</w:t>
      </w:r>
    </w:p>
    <w:p>
      <w:pPr>
        <w:pStyle w:val="Normal"/>
      </w:pPr>
      <w:r>
        <w:rPr/>
        <w:t xml:space="preserve">Use–Verify–Cite урсгал энэ ялгааг ил болгодог. AI-г ноорог боловсруулахад ашиглаж, дараа нь амлалт бүрийг API schema, эзний тайлбар, ажиллуулах боломжтой тесттэй тулгана. Эх сурвалж нь өөр зүйл дэмждэг бол тухайн өгүүлбэрийн citation болгож ашиглахгүй. Ялангуяа retry-ийн policy, дэмжих хэл, 429-ийн header-ийг үйлчилгээний батлагдсан гэрээнээс авах шаардлагатай. Metadata-гүй харьцуулалтыг GPT-4-ийн бодит benchmark гэж нэрлэхгүй байх нь энэ шалгалтын нэг хэсэг.</w:t>
      </w:r>
    </w:p>
    <w:p>
      <w:pPr>
        <w:pStyle w:val="Normal"/>
      </w:pPr>
      <w:r>
        <w:rPr/>
        <w:t xml:space="preserve">Charlotte нь engineering-ийн тайлбарыг зөвхөн дахин найруулах үүрэгтэй хүн биш. Product-ийн амлалт, support-ийн түгээмэл асуулт, DevRel-ийн эхний ажиллах жишээ, хөгжүүлэгчийн бодит алдааг нэг гэрээнд холбоно. Баримт дутуу үед мэддэг мэт бичихээс илүү шийдвэр хүлээгдэж буй асуулт, хариуцах үүрэг, батлах нотолгоог жагсаах нь launch-д хэрэгтэй. Дараагийн төсөлд ч requirement, interface, test, evidence-ийг холбоотой хөтөлж, уншигчийн эхний амжилтаар баримтын хэрэгцээг үнэлэх нь зохистой.</w:t>
      </w:r>
    </w:p>
    <w:p>
      <w:pPr>
        <w:pStyle w:val="Heading2"/>
      </w:pPr>
      <w:r>
        <w:rPr/>
        <w:t xml:space="preserve">Definition of Done — баримт ба нотолгоо</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233"/>
        <w:gridCol w:w="2569"/>
        <w:gridCol w:w="4062"/>
      </w:tblGrid>
      <w:tr>
        <w:trPr>
          <w:cantSplit/>
          <w:tblHeader/>
        </w:trPr>
        <w:tc>
          <w:tcPr>
            <w:tcW w:w="3233" w:type="dxa"/>
            <w:vAlign w:val="top"/>
            <w:shd w:fill="E5EFEC" w:val="clear"/>
          </w:tcPr>
          <w:p>
            <w:pPr>
              <w:pStyle w:val="TableText"/>
            </w:pPr>
            <w:r>
              <w:rPr>
                <w:b/>
                <w:sz w:val="18"/>
              </w:rPr>
              <w:t xml:space="preserve">Шалгуур</w:t>
            </w:r>
          </w:p>
        </w:tc>
        <w:tc>
          <w:tcPr>
            <w:tcW w:w="2569" w:type="dxa"/>
            <w:vAlign w:val="top"/>
            <w:shd w:fill="E5EFEC" w:val="clear"/>
          </w:tcPr>
          <w:p>
            <w:pPr>
              <w:pStyle w:val="TableText"/>
            </w:pPr>
            <w:r>
              <w:rPr>
                <w:b/>
                <w:sz w:val="18"/>
              </w:rPr>
              <w:t xml:space="preserve">Төлөв</w:t>
            </w:r>
          </w:p>
        </w:tc>
        <w:tc>
          <w:tcPr>
            <w:tcW w:w="4062" w:type="dxa"/>
            <w:vAlign w:val="top"/>
            <w:shd w:fill="E5EFEC" w:val="clear"/>
          </w:tcPr>
          <w:p>
            <w:pPr>
              <w:pStyle w:val="TableText"/>
            </w:pPr>
            <w:r>
              <w:rPr>
                <w:b/>
                <w:sz w:val="18"/>
              </w:rPr>
              <w:t xml:space="preserve">Үлдсэн ажил</w:t>
            </w:r>
          </w:p>
        </w:tc>
      </w:tr>
      <w:tr>
        <w:trPr>
          <w:cantSplit/>
        </w:trPr>
        <w:tc>
          <w:tcPr>
            <w:tcW w:w="3233" w:type="dxa"/>
            <w:vAlign w:val="top"/>
          </w:tcPr>
          <w:p>
            <w:pPr>
              <w:pStyle w:val="TableText"/>
            </w:pPr>
            <w:r>
              <w:rPr>
                <w:sz w:val="18"/>
              </w:rPr>
              <w:t xml:space="preserve">SRS 15 FR + 5 NFR, priority / test, ≥5 mock UI</w:t>
            </w:r>
          </w:p>
        </w:tc>
        <w:tc>
          <w:tcPr>
            <w:tcW w:w="2569" w:type="dxa"/>
            <w:vAlign w:val="top"/>
          </w:tcPr>
          <w:p>
            <w:pPr>
              <w:pStyle w:val="TableText"/>
            </w:pPr>
            <w:r>
              <w:rPr>
                <w:sz w:val="18"/>
              </w:rPr>
              <w:t xml:space="preserve">Баримт бэлэн</w:t>
            </w:r>
          </w:p>
        </w:tc>
        <w:tc>
          <w:tcPr>
            <w:tcW w:w="4062" w:type="dxa"/>
            <w:vAlign w:val="top"/>
          </w:tcPr>
          <w:p>
            <w:pPr>
              <w:pStyle w:val="TableText"/>
            </w:pPr>
            <w:r>
              <w:rPr>
                <w:sz w:val="18"/>
              </w:rPr>
              <w:t xml:space="preserve">Бүтээгдэхүүний owner review</w:t>
            </w:r>
          </w:p>
        </w:tc>
      </w:tr>
      <w:tr>
        <w:trPr>
          <w:cantSplit/>
        </w:trPr>
        <w:tc>
          <w:tcPr>
            <w:tcW w:w="3233" w:type="dxa"/>
            <w:vAlign w:val="top"/>
            <w:shd w:fill="F6F9FA" w:val="clear"/>
          </w:tcPr>
          <w:p>
            <w:pPr>
              <w:pStyle w:val="TableText"/>
            </w:pPr>
            <w:r>
              <w:rPr>
                <w:sz w:val="18"/>
              </w:rPr>
              <w:t xml:space="preserve">5 NFR ≥3 category, measurable boundary</w:t>
            </w:r>
          </w:p>
        </w:tc>
        <w:tc>
          <w:tcPr>
            <w:tcW w:w="2569" w:type="dxa"/>
            <w:vAlign w:val="top"/>
            <w:shd w:fill="F6F9FA" w:val="clear"/>
          </w:tcPr>
          <w:p>
            <w:pPr>
              <w:pStyle w:val="TableText"/>
            </w:pPr>
            <w:r>
              <w:rPr>
                <w:sz w:val="18"/>
              </w:rPr>
              <w:t xml:space="preserve">Баримт бэлэн</w:t>
            </w:r>
          </w:p>
        </w:tc>
        <w:tc>
          <w:tcPr>
            <w:tcW w:w="4062" w:type="dxa"/>
            <w:vAlign w:val="top"/>
            <w:shd w:fill="F6F9FA" w:val="clear"/>
          </w:tcPr>
          <w:p>
            <w:pPr>
              <w:pStyle w:val="TableText"/>
            </w:pPr>
            <w:r>
              <w:rPr>
                <w:sz w:val="18"/>
              </w:rPr>
              <w:t xml:space="preserve">Raw runtime measurement</w:t>
            </w:r>
          </w:p>
        </w:tc>
      </w:tr>
      <w:tr>
        <w:trPr>
          <w:cantSplit/>
        </w:trPr>
        <w:tc>
          <w:tcPr>
            <w:tcW w:w="3233" w:type="dxa"/>
            <w:vAlign w:val="top"/>
          </w:tcPr>
          <w:p>
            <w:pPr>
              <w:pStyle w:val="TableText"/>
            </w:pPr>
            <w:r>
              <w:rPr>
                <w:sz w:val="18"/>
              </w:rPr>
              <w:t xml:space="preserve">GPT-4 candidate-тай ≥3 ялгаа</w:t>
            </w:r>
          </w:p>
        </w:tc>
        <w:tc>
          <w:tcPr>
            <w:tcW w:w="2569" w:type="dxa"/>
            <w:vAlign w:val="top"/>
          </w:tcPr>
          <w:p>
            <w:pPr>
              <w:pStyle w:val="TableText"/>
            </w:pPr>
            <w:r>
              <w:rPr>
                <w:sz w:val="18"/>
              </w:rPr>
              <w:t xml:space="preserve">Named-model evidence pending</w:t>
            </w:r>
          </w:p>
        </w:tc>
        <w:tc>
          <w:tcPr>
            <w:tcW w:w="4062" w:type="dxa"/>
            <w:vAlign w:val="top"/>
          </w:tcPr>
          <w:p>
            <w:pPr>
              <w:pStyle w:val="TableText"/>
            </w:pPr>
            <w:r>
              <w:rPr>
                <w:sz w:val="18"/>
              </w:rPr>
              <w:t xml:space="preserve">US-3.3-т шаардсан GPT-4 run metadata / transcript, prompt, output, correction</w:t>
            </w:r>
          </w:p>
        </w:tc>
      </w:tr>
      <w:tr>
        <w:trPr>
          <w:cantSplit/>
        </w:trPr>
        <w:tc>
          <w:tcPr>
            <w:tcW w:w="3233" w:type="dxa"/>
            <w:vAlign w:val="top"/>
            <w:shd w:fill="F6F9FA" w:val="clear"/>
          </w:tcPr>
          <w:p>
            <w:pPr>
              <w:pStyle w:val="TableText"/>
            </w:pPr>
            <w:r>
              <w:rPr>
                <w:sz w:val="18"/>
              </w:rPr>
              <w:t xml:space="preserve">Peer team ≥3 comment</w:t>
            </w:r>
          </w:p>
        </w:tc>
        <w:tc>
          <w:tcPr>
            <w:tcW w:w="2569" w:type="dxa"/>
            <w:vAlign w:val="top"/>
            <w:shd w:fill="F6F9FA" w:val="clear"/>
          </w:tcPr>
          <w:p>
            <w:pPr>
              <w:pStyle w:val="TableText"/>
            </w:pPr>
            <w:r>
              <w:rPr>
                <w:sz w:val="18"/>
              </w:rPr>
              <w:t xml:space="preserve">Pending</w:t>
            </w:r>
          </w:p>
        </w:tc>
        <w:tc>
          <w:tcPr>
            <w:tcW w:w="4062" w:type="dxa"/>
            <w:vAlign w:val="top"/>
            <w:shd w:fill="F6F9FA" w:val="clear"/>
          </w:tcPr>
          <w:p>
            <w:pPr>
              <w:pStyle w:val="TableText"/>
            </w:pPr>
            <w:r>
              <w:rPr>
                <w:sz w:val="18"/>
              </w:rPr>
              <w:t xml:space="preserve">Reviewer, date, comment link, resolution</w:t>
            </w:r>
          </w:p>
        </w:tc>
      </w:tr>
      <w:tr>
        <w:trPr>
          <w:cantSplit/>
        </w:trPr>
        <w:tc>
          <w:tcPr>
            <w:tcW w:w="3233" w:type="dxa"/>
            <w:vAlign w:val="top"/>
          </w:tcPr>
          <w:p>
            <w:pPr>
              <w:pStyle w:val="TableText"/>
            </w:pPr>
            <w:r>
              <w:rPr>
                <w:sz w:val="18"/>
              </w:rPr>
              <w:t xml:space="preserve">Trial test ≥80%</w:t>
            </w:r>
          </w:p>
        </w:tc>
        <w:tc>
          <w:tcPr>
            <w:tcW w:w="2569" w:type="dxa"/>
            <w:vAlign w:val="top"/>
          </w:tcPr>
          <w:p>
            <w:pPr>
              <w:pStyle w:val="TableText"/>
            </w:pPr>
            <w:r>
              <w:rPr>
                <w:sz w:val="18"/>
              </w:rPr>
              <w:t xml:space="preserve">Not verified</w:t>
            </w:r>
          </w:p>
        </w:tc>
        <w:tc>
          <w:tcPr>
            <w:tcW w:w="4062" w:type="dxa"/>
            <w:vAlign w:val="top"/>
          </w:tcPr>
          <w:p>
            <w:pPr>
              <w:pStyle w:val="TableText"/>
            </w:pPr>
            <w:r>
              <w:rPr>
                <w:sz w:val="18"/>
              </w:rPr>
              <w:t xml:space="preserve">20 requirement-ээс ≥16 нь бүх case-ээ Passed болсны evidence</w:t>
            </w:r>
          </w:p>
        </w:tc>
      </w:tr>
      <w:tr>
        <w:trPr>
          <w:cantSplit/>
        </w:trPr>
        <w:tc>
          <w:tcPr>
            <w:tcW w:w="3233" w:type="dxa"/>
            <w:vAlign w:val="top"/>
            <w:shd w:fill="F6F9FA" w:val="clear"/>
          </w:tcPr>
          <w:p>
            <w:pPr>
              <w:pStyle w:val="TableText"/>
            </w:pPr>
            <w:r>
              <w:rPr>
                <w:sz w:val="18"/>
              </w:rPr>
              <w:t xml:space="preserve">M3 milestone / course workspace</w:t>
            </w:r>
          </w:p>
        </w:tc>
        <w:tc>
          <w:tcPr>
            <w:tcW w:w="2569" w:type="dxa"/>
            <w:vAlign w:val="top"/>
            <w:shd w:fill="F6F9FA" w:val="clear"/>
          </w:tcPr>
          <w:p>
            <w:pPr>
              <w:pStyle w:val="TableText"/>
            </w:pPr>
            <w:r>
              <w:rPr>
                <w:sz w:val="18"/>
              </w:rPr>
              <w:t xml:space="preserve">External verification</w:t>
            </w:r>
          </w:p>
        </w:tc>
        <w:tc>
          <w:tcPr>
            <w:tcW w:w="4062" w:type="dxa"/>
            <w:vAlign w:val="top"/>
            <w:shd w:fill="F6F9FA" w:val="clear"/>
          </w:tcPr>
          <w:p>
            <w:pPr>
              <w:pStyle w:val="TableText"/>
            </w:pPr>
            <w:r>
              <w:rPr>
                <w:sz w:val="18"/>
              </w:rPr>
              <w:t xml:space="preserve">LMS / instructor-ийн бодит үнэлгээ</w:t>
            </w:r>
          </w:p>
        </w:tc>
      </w:tr>
    </w:tbl>
    <w:p>
      <w:pPr>
        <w:pStyle w:val="Gap"/>
      </w:pPr>
    </w:p>
    <w:p>
      <w:pPr>
        <w:pStyle w:val="Normal"/>
      </w:pPr>
      <w:r>
        <w:rPr/>
        <w:t xml:space="preserve">Unit test эсвэл docstring-ийн doctest нь бүтээгдэхүүний бүх SRS acceptance-ийн pass хувь биш. Үлдсэн ажлыг биелсэн мэт тэмдэглээгүй.</w:t>
      </w:r>
    </w:p>
    <w:p>
      <w:pPr>
        <w:pStyle w:val="Heading2"/>
      </w:pPr>
      <w:r>
        <w:rPr/>
        <w:t xml:space="preserve">Эргэцүүллийн гурван асуултад өгөх хариу</w:t>
      </w:r>
    </w:p>
    <w:p>
      <w:pPr>
        <w:pStyle w:val="Normal"/>
        <w:ind w:left="240" w:hanging="160"/>
      </w:pPr>
      <w:r>
        <w:rPr/>
        <w:t xml:space="preserve">1. </w:t>
      </w:r>
      <w:r>
        <w:rPr/>
        <w:t xml:space="preserve"/>
      </w:r>
      <w:r>
        <w:rPr>
          <w:b/>
        </w:rPr>
        <w:t xml:space="preserve">Bhatti-ийн сорьсон ойлголт:</w:t>
      </w:r>
      <w:r>
        <w:rPr/>
        <w:t xml:space="preserve"> Ch.3p.58-ын гол мэдээллээ эхэнд бичих зарчим. “Шалгахдаа...” гэж эхлэхийн оронд “Хэрэглэгч зөвхөн өөрийн захиалгыг харна” гэж үр дүнг эхэлж хэлэх нь contract-ийг ойлгомжтой болгоно.</w:t>
      </w:r>
    </w:p>
    <w:p>
      <w:pPr>
        <w:pStyle w:val="Normal"/>
        <w:ind w:left="240" w:hanging="160"/>
      </w:pPr>
      <w:r>
        <w:rPr/>
        <w:t xml:space="preserve">2. </w:t>
      </w:r>
      <w:r>
        <w:rPr/>
        <w:t xml:space="preserve"/>
      </w:r>
      <w:r>
        <w:rPr>
          <w:b/>
        </w:rPr>
        <w:t xml:space="preserve">Chinchilla-аас цааш хэрэглэх зүйл:</w:t>
      </w:r>
      <w:r>
        <w:rPr/>
        <w:t xml:space="preserve"> Ch.9pp.119–131-ийн generative documentation-ийг хүний шалгалттай хэрэглэх зарчим. Page заалт handout-аас; AI draft-ийн эх үүсвэр, өөрчлөлт, нотолгоог хадгална.</w:t>
      </w:r>
    </w:p>
    <w:p>
      <w:pPr>
        <w:pStyle w:val="Normal"/>
        <w:ind w:left="240" w:hanging="160"/>
      </w:pPr>
      <w:r>
        <w:rPr/>
        <w:t xml:space="preserve">3. </w:t>
      </w:r>
      <w:r>
        <w:rPr/>
        <w:t xml:space="preserve"/>
      </w:r>
      <w:r>
        <w:rPr>
          <w:b/>
        </w:rPr>
        <w:t xml:space="preserve">Ном ба практикийн гол зөрүү:</w:t>
      </w:r>
      <w:r>
        <w:rPr/>
        <w:t xml:space="preserve"> Бодит peer review ба trial measurement нь хүн, хугацаа, ажиллах environment шаарддаг. Баримтын completeness-ээр энэ нотолгоог орлуулахгүй; pending gate-ийг ил үлдээнэ.</w:t>
      </w:r>
    </w:p>
    <w:p>
      <w:pPr>
        <w:pStyle w:val="Normal"/>
      </w:pPr>
      <w:r>
        <w:rPr/>
        <w:t xml:space="preserve">Эх материал: </w:t>
      </w:r>
      <w:hyperlink r:id="rIdLink8">
        <w:r>
          <w:rPr>
            <w:color w:val="176D91"/>
            <w:u w:val="single"/>
          </w:rPr>
          <w:t xml:space="preserve">Week 03 handout</w:t>
        </w:r>
      </w:hyperlink>
      <w:r>
        <w:rPr/>
        <w:t xml:space="preserve">, </w:t>
      </w:r>
      <w:hyperlink r:id="rIdLink9">
        <w:r>
          <w:rPr>
            <w:color w:val="176D91"/>
            <w:u w:val="single"/>
          </w:rPr>
          <w:t xml:space="preserve">шинэ W03</w:t>
        </w:r>
      </w:hyperlink>
      <w:r>
        <w:rPr/>
        <w:t xml:space="preserve">, </w:t>
      </w:r>
      <w:hyperlink r:id="rIdLink10">
        <w:r>
          <w:rPr>
            <w:color w:val="176D91"/>
            <w:u w:val="single"/>
          </w:rPr>
          <w:t xml:space="preserve">хуучин PHTBB-3</w:t>
        </w:r>
      </w:hyperlink>
      <w:r>
        <w:rPr/>
        <w:t xml:space="preserve">. Номын хуудасны заалтыг эдгээр материалаас авсан.</w:t>
      </w:r>
    </w:p>
    <w:sectPr>
      <w:footerReference w:type="default" r:id="rIdFooter"/>
      <w:headerReference w:type="default" r:id="rIdHeader"/>
      <w:type w:val="nextPage"/>
      <w:pgSz w:w="11906" w:h="16838" w:orient="portrait"/>
      <w:pgMar w:top="1021" w:right="1021" w:bottom="1021" w:left="1021" w:header="400" w:footer="400" w:gutter="0"/>
    </w:sectPr>
  </w:body>
</w:document>
</file>

<file path=word/footer1.xml><?xml version="1.0" encoding="utf-8"?>
<w:ftr xmlns:w="http://schemas.openxmlformats.org/wordprocessingml/2006/main">
  <w:p>
    <w:pPr>
      <w:pStyle w:val="Footer"/>
    </w:pPr>
    <w:r>
      <w:rPr/>
      <w:t xml:space="preserve">FoodFlow · 2026-10-13 · </w:t>
    </w:r>
    <w:fldSimple w:instr="PAGE">
      <w:r>
        <w:rPr/>
        <w:t xml:space="preserve">1</w:t>
      </w:r>
    </w:fldSimple>
  </w:p>
</w:ftr>
</file>

<file path=word/header1.xml><?xml version="1.0" encoding="utf-8"?>
<w:hdr xmlns:w="http://schemas.openxmlformats.org/wordprocessingml/2006/main">
  <w:p>
    <w:pPr>
      <w:pStyle w:val="Footer"/>
    </w:pPr>
    <w:r>
      <w:rPr/>
      <w:t xml:space="preserve">FOODFLOW / SOFTWARE PROJECT DOCUMENTATION</w:t>
    </w:r>
  </w:p>
</w:hdr>
</file>

<file path=word/settings.xml><?xml version="1.0" encoding="utf-8"?>
<w:settings xmlns:w="http://schemas.openxmlformats.org/wordprocessingml/2006/main">
  <w:updateFields w:val="true"/>
  <w:defaultTabStop w:val="360"/>
</w:settings>
</file>

<file path=word/styles.xml><?xml version="1.0" encoding="utf-8"?>
<w:styles xmlns:w="http://schemas.openxmlformats.org/wordprocessingml/2006/main">
  <w:docDefaults>
    <w:rPrDefault>
      <w:rPr>
        <w:rFonts w:ascii="Arial" w:hAnsi="Arial" w:cs="Arial" w:eastAsia="Arial"/>
        <w:lang w:val="mn-MN"/>
        <w:sz w:val="21"/>
        <w:color w:val="18334A"/>
      </w:rPr>
    </w:rPrDefault>
  </w:docDefaults>
  <w:style w:type="paragraph" w:styleId="Normal" w:default="1">
    <w:name w:val="Normal"/>
    <w:pPr>
      <w:spacing w:before="0" w:after="85" w:line="280" w:lineRule="auto"/>
      <w:widowControl/>
    </w:pPr>
    <w:rPr>
      <w:sz w:val="21"/>
    </w:rPr>
  </w:style>
  <w:style w:type="paragraph" w:styleId="Title">
    <w:name w:val="Title"/>
    <w:basedOn w:val="Normal"/>
    <w:pPr>
      <w:spacing w:before="0" w:after="160" w:line="780" w:lineRule="auto"/>
      <w:widowControl/>
    </w:pPr>
    <w:rPr>
      <w:sz w:val="68"/>
      <w:b/>
    </w:rPr>
  </w:style>
  <w:style w:type="paragraph" w:styleId="Subtitle">
    <w:name w:val="Subtitle"/>
    <w:basedOn w:val="Normal"/>
    <w:pPr>
      <w:spacing w:before="0" w:after="180" w:line="500" w:lineRule="auto"/>
      <w:widowControl/>
    </w:pPr>
    <w:rPr>
      <w:sz w:val="40"/>
    </w:rPr>
  </w:style>
  <w:style w:type="paragraph" w:styleId="TableText">
    <w:name w:val="TableText"/>
    <w:basedOn w:val="Normal"/>
    <w:pPr>
      <w:spacing w:before="0" w:after="0" w:line="230" w:lineRule="auto"/>
      <w:widowControl/>
    </w:pPr>
    <w:rPr>
      <w:sz w:val="18"/>
    </w:rPr>
  </w:style>
  <w:style w:type="paragraph" w:styleId="Caption">
    <w:name w:val="Caption"/>
    <w:basedOn w:val="Normal"/>
    <w:pPr>
      <w:spacing w:before="0" w:after="90" w:line="210" w:lineRule="auto"/>
      <w:widowControl/>
    </w:pPr>
    <w:rPr>
      <w:sz w:val="16"/>
    </w:rPr>
  </w:style>
  <w:style w:type="paragraph" w:styleId="Code">
    <w:name w:val="Code"/>
    <w:basedOn w:val="Normal"/>
    <w:pPr>
      <w:spacing w:before="0" w:after="120" w:line="210" w:lineRule="auto"/>
      <w:widowControl/>
      <w:shd w:fill="F4F7F8" w:val="clear"/>
      <w:ind w:left="140" w:right="140"/>
    </w:pPr>
    <w:rPr>
      <w:sz w:val="16"/>
      <w:rFonts w:ascii="Consolas" w:hAnsi="Consolas" w:cs="Consolas"/>
    </w:rPr>
  </w:style>
  <w:style w:type="paragraph" w:styleId="Quote">
    <w:name w:val="Quote"/>
    <w:basedOn w:val="Normal"/>
    <w:pPr>
      <w:spacing w:before="0" w:after="120" w:line="260" w:lineRule="auto"/>
      <w:widowControl/>
      <w:shd w:fill="F4F7F8" w:val="clear"/>
      <w:ind w:left="140" w:right="140"/>
    </w:pPr>
    <w:rPr>
      <w:sz w:val="20"/>
    </w:rPr>
  </w:style>
  <w:style w:type="paragraph" w:styleId="Gap">
    <w:name w:val="Gap"/>
    <w:basedOn w:val="Normal"/>
    <w:pPr>
      <w:spacing w:before="0" w:after="70" w:line="40" w:lineRule="auto"/>
      <w:widowControl/>
    </w:pPr>
    <w:rPr>
      <w:sz w:val="4"/>
    </w:rPr>
  </w:style>
  <w:style w:type="paragraph" w:styleId="Footer">
    <w:name w:val="Footer"/>
    <w:basedOn w:val="Normal"/>
    <w:pPr>
      <w:spacing w:before="0" w:after="0" w:line="180" w:lineRule="auto"/>
      <w:widowControl/>
    </w:pPr>
    <w:rPr>
      <w:sz w:val="16"/>
    </w:rPr>
  </w:style>
  <w:style w:type="paragraph" w:styleId="Heading1">
    <w:name w:val="Heading1"/>
    <w:basedOn w:val="Normal"/>
    <w:pPr>
      <w:spacing w:before="0" w:after="115" w:line="494" w:lineRule="auto"/>
      <w:widowControl/>
      <w:keepNext/>
      <w:outlineLvl w:val="0"/>
    </w:pPr>
    <w:rPr>
      <w:sz w:val="38"/>
      <w:b/>
    </w:rPr>
  </w:style>
  <w:style w:type="paragraph" w:styleId="Heading2">
    <w:name w:val="Heading2"/>
    <w:basedOn w:val="Normal"/>
    <w:pPr>
      <w:spacing w:before="140" w:after="115" w:line="351" w:lineRule="auto"/>
      <w:widowControl/>
      <w:keepNext/>
      <w:outlineLvl w:val="1"/>
    </w:pPr>
    <w:rPr>
      <w:sz w:val="27"/>
      <w:b/>
    </w:rPr>
  </w:style>
  <w:style w:type="paragraph" w:styleId="Heading3">
    <w:name w:val="Heading3"/>
    <w:basedOn w:val="Normal"/>
    <w:pPr>
      <w:spacing w:before="140" w:after="115" w:line="299" w:lineRule="auto"/>
      <w:widowControl/>
      <w:keepNext/>
      <w:outlineLvl w:val="2"/>
    </w:pPr>
    <w:rPr>
      <w:sz w:val="23"/>
      <w:b/>
    </w:rPr>
  </w:style>
  <w:style w:type="paragraph" w:styleId="Heading4">
    <w:name w:val="Heading4"/>
    <w:basedOn w:val="Normal"/>
    <w:pPr>
      <w:spacing w:before="140" w:after="115" w:line="273" w:lineRule="auto"/>
      <w:widowControl/>
      <w:keepNext/>
      <w:outlineLvl w:val="3"/>
    </w:pPr>
    <w:rPr>
      <w:sz w:val="21"/>
      <w:b/>
    </w:rPr>
  </w:style>
  <w:style w:type="paragraph" w:styleId="Heading5">
    <w:name w:val="Heading5"/>
    <w:basedOn w:val="Normal"/>
    <w:pPr>
      <w:spacing w:before="140" w:after="115" w:line="273" w:lineRule="auto"/>
      <w:widowControl/>
      <w:keepNext/>
      <w:outlineLvl w:val="4"/>
    </w:pPr>
    <w:rPr>
      <w:sz w:val="21"/>
      <w:b/>
    </w:rPr>
  </w:style>
  <w:style w:type="paragraph" w:styleId="Heading6">
    <w:name w:val="Heading6"/>
    <w:basedOn w:val="Normal"/>
    <w:pPr>
      <w:spacing w:before="140" w:after="115" w:line="273" w:lineRule="auto"/>
      <w:widowControl/>
      <w:keepNext/>
      <w:outlineLvl w:val="5"/>
    </w:pPr>
    <w:rPr>
      <w:sz w:val="21"/>
      <w:b/>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Settings" Type="http://schemas.openxmlformats.org/officeDocument/2006/relationships/settings" Target="settings.xml" /><Relationship Id="rIdFooter" Type="http://schemas.openxmlformats.org/officeDocument/2006/relationships/footer" Target="footer1.xml" /><Relationship Id="rIdHeader" Type="http://schemas.openxmlformats.org/officeDocument/2006/relationships/header" Target="header1.xml" /><Relationship Id="rIdLink1" Type="http://schemas.openxmlformats.org/officeDocument/2006/relationships/hyperlink" Target="https://github.com/Tuguldur0222/foodflow-documentation/blob/main/docs/requirements/srs.md" TargetMode="External" /><Relationship Id="rIdLink2" Type="http://schemas.openxmlformats.org/officeDocument/2006/relationships/hyperlink" Target="https://github.com/Tuguldur0222/foodflow-documentation/blob/main/docs/requirements/traceability.md" TargetMode="External" /><Relationship Id="rIdLink3" Type="http://schemas.openxmlformats.org/officeDocument/2006/relationships/hyperlink" Target="https://github.com/Tuguldur0222/foodflow-documentation/blob/main/docs/requirements/mockups/index.md" TargetMode="External" /><Relationship Id="rIdLink4" Type="http://schemas.openxmlformats.org/officeDocument/2006/relationships/hyperlink" Target="https://github.com/Tuguldur0222/foodflow-documentation/blob/main/docs/architecture/index.md" TargetMode="External" /><Relationship Id="rIdLink5" Type="http://schemas.openxmlformats.org/officeDocument/2006/relationships/hyperlink" Target="https://github.com/Tuguldur0222/foodflow-documentation/blob/main/docs/requirements/traceability.md#%D1%81%D1%83%D1%83%D1%80%D1%8C-%D0%B1%D0%B0%D1%80%D0%B8%D0%BC%D1%82%D1%83%D1%83%D0%B4%D1%8B%D0%BD-%D0%B7%D3%A9%D1%80%D2%AF%D2%AF" TargetMode="External" /><Relationship Id="rIdLink6" Type="http://schemas.openxmlformats.org/officeDocument/2006/relationships/hyperlink" Target="https://web.dev/articles/lcp" TargetMode="External" /><Relationship Id="rIdLink7" Type="http://schemas.openxmlformats.org/officeDocument/2006/relationships/hyperlink" Target="https://developer.chrome.com/docs/lighthouse/performance/lighthouse-largest-contentful-paint" TargetMode="External" /><Relationship Id="rIdLink8" Type="http://schemas.openxmlformats.org/officeDocument/2006/relationships/hyperlink" Target="https://github.com/Tuguldur0222/foodflow-documentation/blob/main/sources/README.md" TargetMode="External" /><Relationship Id="rIdLink9" Type="http://schemas.openxmlformats.org/officeDocument/2006/relationships/hyperlink" Target="https://github.com/Tuguldur0222/foodflow-documentation/blob/main/sources/README.md" TargetMode="External" /><Relationship Id="rIdLink10" Type="http://schemas.openxmlformats.org/officeDocument/2006/relationships/hyperlink" Target="https://github.com/Tuguldur0222/foodflow-documentation/blob/main/sources/README.md" TargetMode="External" /></Relationships>
</file>

<file path=docProps/core.xml><?xml version="1.0" encoding="utf-8"?>
<cp:coreProperties xmlns:cp="http://schemas.openxmlformats.org/package/2006/metadata/core-properties" xmlns:dc="http://purl.org/dc/elements/1.1/">
  <dc:title>Семинар 03 — SRS ба шаардлагын баталгаажуулалт</dc:title>
  <dc:creator>Ю. Төгөлдөр · 23B1NUM2350</dc:creator>
  <dc:description>Editable export from canonical FoodFlow Markdown. 2026-10-13</dc:description>
</cp:coreProperties>
</file>