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Relationship Id="rIdCore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rPr/>
        <w:t xml:space="preserve">Семинар 04 — arc42, C4 ба ADR</w:t>
      </w:r>
    </w:p>
    <w:p>
      <w:pPr>
        <w:pStyle w:val="Normal"/>
      </w:pPr>
      <w:r>
        <w:rPr/>
        <w:t xml:space="preserve"/>
      </w:r>
      <w:r>
        <w:rPr>
          <w:b/>
        </w:rPr>
        <w:t xml:space="preserve">Төсөл:</w:t>
      </w:r>
      <w:r>
        <w:rPr/>
        <w:t xml:space="preserve"> FoodFlow · </w:t>
      </w:r>
      <w:r>
        <w:rPr>
          <w:b/>
        </w:rPr>
        <w:t xml:space="preserve">Төрөл:</w:t>
      </w:r>
      <w:r>
        <w:rPr/>
        <w:t xml:space="preserve"> Proposed architecture documentation · </w:t>
      </w:r>
      <w:r>
        <w:rPr>
          <w:b/>
        </w:rPr>
        <w:t xml:space="preserve">Шалгасан:</w:t>
      </w:r>
      <w:r>
        <w:rPr/>
        <w:t xml:space="preserve"> 2026-10-13</w:t>
      </w:r>
    </w:p>
    <w:p>
      <w:pPr>
        <w:pStyle w:val="Normal"/>
      </w:pPr>
      <w:r>
        <w:rPr/>
        <w:t xml:space="preserve">Энэ семинарын зорилго нь системийн орчин, хариуцлагын хил, шийдвэрийн үндэслэлийг хөгжүүлэгч болон reviewer-д ойлгомжтой болгох юм. arc42-ийн §1 (Goals), §3 (Scope &amp; Context), §5 (Building Block View)-ийг C4 Context/Container зураг, SRS-ийн холбоос, MADR тэмдэглэлээр баяжуулав.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Гол материал:</w:t>
      </w:r>
      <w:r>
        <w:rPr/>
        <w:t xml:space="preserve"> </w:t>
      </w:r>
      <w:hyperlink r:id="rIdLink1">
        <w:r>
          <w:rPr>
            <w:color w:val="176D91"/>
            <w:u w:val="single"/>
          </w:rPr>
          <w:t xml:space="preserve">Архитектур</w:t>
        </w:r>
      </w:hyperlink>
      <w:r>
        <w:rPr/>
        <w:t xml:space="preserve"> · </w:t>
      </w:r>
      <w:hyperlink r:id="rIdLink2">
        <w:r>
          <w:rPr>
            <w:color w:val="176D91"/>
            <w:u w:val="single"/>
          </w:rPr>
          <w:t xml:space="preserve">ADR индекс</w:t>
        </w:r>
      </w:hyperlink>
      <w:r>
        <w:rPr/>
        <w:t xml:space="preserve"> · </w:t>
      </w:r>
      <w:hyperlink r:id="rIdLink3">
        <w:r>
          <w:rPr>
            <w:color w:val="176D91"/>
            <w:u w:val="single"/>
          </w:rPr>
          <w:t xml:space="preserve">UE-4 өмнөх/дараах зураг</w:t>
        </w:r>
      </w:hyperlink>
      <w:r>
        <w:rPr/>
        <w:t xml:space="preserve"> · </w:t>
      </w:r>
      <w:hyperlink r:id="rIdLink4">
        <w:r>
          <w:rPr>
            <w:color w:val="176D91"/>
            <w:u w:val="single"/>
          </w:rPr>
          <w:t xml:space="preserve">SRS traceability</w:t>
        </w:r>
      </w:hyperlink>
    </w:p>
    <w:p>
      <w:pPr>
        <w:pStyle w:val="Heading2"/>
      </w:pPr>
      <w:r>
        <w:rPr/>
        <w:t xml:space="preserve">Даалгавар ба шинэчилсэн үр дүн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286"/>
        <w:gridCol w:w="3674"/>
        <w:gridCol w:w="3904"/>
      </w:tblGrid>
      <w:tr>
        <w:trPr>
          <w:cantSplit/>
          <w:tblHeader/>
        </w:trPr>
        <w:tc>
          <w:tcPr>
            <w:tcW w:w="2286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Handout story</w:t>
            </w:r>
          </w:p>
        </w:tc>
        <w:tc>
          <w:tcPr>
            <w:tcW w:w="3674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Шаардлага</w:t>
            </w:r>
          </w:p>
        </w:tc>
        <w:tc>
          <w:tcPr>
            <w:tcW w:w="3904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Материал / төлөв</w:t>
            </w:r>
          </w:p>
        </w:tc>
      </w:tr>
      <w:tr>
        <w:trPr>
          <w:cantSplit/>
        </w:trPr>
        <w:tc>
          <w:tcPr>
            <w:tcW w:w="2286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US-4.1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≥3 actor, W01 persona холбоо, ≥2 neighboring system, data flow</w:t>
            </w:r>
          </w:p>
        </w:tc>
        <w:tc>
          <w:tcPr>
            <w:tcW w:w="3904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Customer / staff / courier / support гэсэн 4 actor; payment / notification гэсэн 2 provider; arc42 §3</w:t>
            </w:r>
          </w:p>
        </w:tc>
      </w:tr>
      <w:tr>
        <w:trPr>
          <w:cantSplit/>
        </w:trPr>
        <w:tc>
          <w:tcPr>
            <w:tcW w:w="228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US-4.2</w:t>
            </w:r>
          </w:p>
        </w:tc>
        <w:tc>
          <w:tcPr>
            <w:tcW w:w="3674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C4 Container ≤8; Name + Tech Stack + Responsibility</w:t>
            </w:r>
          </w:p>
        </w:tc>
        <w:tc>
          <w:tcPr>
            <w:tcW w:w="3904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5 container; шошготой урсгал; засварлах Mermaid эх</w:t>
            </w:r>
          </w:p>
        </w:tc>
      </w:tr>
      <w:tr>
        <w:trPr>
          <w:cantSplit/>
        </w:trPr>
        <w:tc>
          <w:tcPr>
            <w:tcW w:w="2286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US-4.3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Tech Stack, Persistence, Interface гэсэн 3 MADR; persona backlink</w:t>
            </w:r>
          </w:p>
        </w:tc>
        <w:tc>
          <w:tcPr>
            <w:tcW w:w="3904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ADR-001/002/003; Status, Context, Decision, Consequences, Confirmation</w:t>
            </w:r>
          </w:p>
        </w:tc>
      </w:tr>
      <w:tr>
        <w:trPr>
          <w:cantSplit/>
        </w:trPr>
        <w:tc>
          <w:tcPr>
            <w:tcW w:w="228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US-4.4</w:t>
            </w:r>
          </w:p>
        </w:tc>
        <w:tc>
          <w:tcPr>
            <w:tcW w:w="3674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Building block ↔ SRS; orphan flag</w:t>
            </w:r>
          </w:p>
        </w:tc>
        <w:tc>
          <w:tcPr>
            <w:tcW w:w="3904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15/15 FR mapped; orphan=0; runtime gap тусдаа</w:t>
            </w:r>
          </w:p>
        </w:tc>
      </w:tr>
      <w:tr>
        <w:trPr>
          <w:cantSplit/>
        </w:trPr>
        <w:tc>
          <w:tcPr>
            <w:tcW w:w="2286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UE-4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Before / After anti-pattern + нэг нүүрийн ADR</w:t>
            </w:r>
          </w:p>
        </w:tc>
        <w:tc>
          <w:tcPr>
            <w:tcW w:w="3904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UE-4 Magic Container; ADR-004</w:t>
            </w:r>
          </w:p>
        </w:tc>
      </w:tr>
    </w:tbl>
    <w:p>
      <w:pPr>
        <w:pStyle w:val="Gap"/>
      </w:pPr>
    </w:p>
    <w:p>
      <w:pPr>
        <w:pStyle w:val="Normal"/>
      </w:pPr>
      <w:r>
        <w:rPr/>
        <w:t xml:space="preserve">Баримт нь GitHub дээр уншихад зориулсан Markdown ба Mermaid эхтэй. Course workspace-д нийтэлсэн эсэх, багийн approval, бодит deployment нь тусдаа нотолгоо.</w:t>
      </w:r>
    </w:p>
    <w:p>
      <w:pPr>
        <w:pStyle w:val="Heading2"/>
      </w:pPr>
      <w:r>
        <w:rPr/>
        <w:t xml:space="preserve">arc42 §1 — Уншигч ба чанарын зорилго</w:t>
      </w:r>
    </w:p>
    <w:p>
      <w:pPr>
        <w:pStyle w:val="Normal"/>
      </w:pPr>
      <w:r>
        <w:rPr/>
        <w:t xml:space="preserve">Ану Web App ↔ API contract-ийг, Билэгт durable order ба key-ийн хилийг, Номин order status / error-ийн эх үүсвэрийг олох ёстой. Гол architecture driver нь duplicate=0 (NFR-02), өөрийн захиалгын нууцлал (NFR-03), keyboard checkout (NFR-05), mobile LCP (NFR-01), core ordering availability (NFR-04). Persona нь зохиомол; бодит ярилцлага гэж мэдүүлээгүй.</w:t>
      </w:r>
    </w:p>
    <w:p>
      <w:pPr>
        <w:pStyle w:val="Heading2"/>
      </w:pPr>
      <w:r>
        <w:rPr/>
        <w:t xml:space="preserve">arc42 §3 — Гаднах орчин</w:t>
      </w:r>
    </w:p>
    <w:p>
      <w:pPr>
        <w:pStyle w:val="Normal"/>
      </w:pPr>
      <w:hyperlink r:id="rIdLink5">
        <w:r>
          <w:rPr>
            <w:color w:val="176D91"/>
            <w:u w:val="single"/>
          </w:rPr>
          <w:t xml:space="preserve">Context diagram</w:t>
        </w:r>
      </w:hyperlink>
      <w:r>
        <w:rPr/>
        <w:t xml:space="preserve"> нь дөрвөн runtime actor, хоёр provider-ийг харуулна. Ану/Билэгтийг runtime Customer болгон сольж дүрслээгүй; тэд баримтын уншигч/хэрэгжүүлэгч. Staff/courier нь Номины тайлбарлах төлөвийн эх үүсвэртэй холбоотой. Support-ийн lookup эрх нь Customer SRS-ээс автоматаар үүсэхгүй; role matrix батлах шаардлагатай.</w:t>
      </w:r>
    </w:p>
    <w:p>
      <w:pPr>
        <w:pStyle w:val="Normal"/>
      </w:pPr>
      <w:r>
        <w:rPr/>
        <w:t xml:space="preserve">Payment Provider руу payment reference/request явж, баталгаажсан result webhook-оор ирэх саналтай. Notification Provider руу event/destination явж, delivery result буцна. Raw card мэдээлэл FoodFlow-д хадгалахгүй. Бодит provider, signature schema, retry/timeout, refund policy батлагдаагүй тул “холбогдсон үйлчилгээ” гэж бичээгүй.</w:t>
      </w:r>
    </w:p>
    <w:p>
      <w:pPr>
        <w:pStyle w:val="Heading2"/>
      </w:pPr>
      <w:r>
        <w:rPr/>
        <w:t xml:space="preserve">arc42 §5 — Хариуцлагын хил</w:t>
      </w:r>
    </w:p>
    <w:p>
      <w:pPr>
        <w:pStyle w:val="Normal"/>
      </w:pPr>
      <w:hyperlink r:id="rIdLink6">
        <w:r>
          <w:rPr>
            <w:color w:val="176D91"/>
            <w:u w:val="single"/>
          </w:rPr>
          <w:t xml:space="preserve">Container view</w:t>
        </w:r>
      </w:hyperlink>
      <w:r>
        <w:rPr/>
        <w:t xml:space="preserve"> нь Web App, API, Worker, PostgreSQL, Redis гэсэн таван application / datastore-ийг харуулна. C4 container нь Docker container гэсэн ганц утгатай биш, мөн production cluster-ийн deployment diagram биш. API-ийн Catalog / Cart / Pricing / Checkout / Orders блок нь логик module; тус бүрийг microservice болгосон гэж ойлгохгүй.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638"/>
        <w:gridCol w:w="5226"/>
      </w:tblGrid>
      <w:tr>
        <w:trPr>
          <w:cantSplit/>
          <w:tblHeader/>
        </w:trPr>
        <w:tc>
          <w:tcPr>
            <w:tcW w:w="4638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Өмнөх тайлан дахь асуудал</w:t>
            </w:r>
          </w:p>
        </w:tc>
        <w:tc>
          <w:tcPr>
            <w:tcW w:w="5226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Шинэчилсэн шийдэл</w:t>
            </w:r>
          </w:p>
        </w:tc>
      </w:tr>
      <w:tr>
        <w:trPr>
          <w:cantSplit/>
        </w:trPr>
        <w:tc>
          <w:tcPr>
            <w:tcW w:w="4638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FR-15-ийг Worker / notification-д голлон оноосон</w:t>
            </w:r>
          </w:p>
        </w:tc>
        <w:tc>
          <w:tcPr>
            <w:tcW w:w="5226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Web App + API confirmation үндсэн; notification нэмэлт</w:t>
            </w:r>
          </w:p>
        </w:tc>
      </w:tr>
      <w:tr>
        <w:trPr>
          <w:cantSplit/>
        </w:trPr>
        <w:tc>
          <w:tcPr>
            <w:tcW w:w="4638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Redis key check нь duplicate хамгаалалт мэт харагдсан</w:t>
            </w:r>
          </w:p>
        </w:tc>
        <w:tc>
          <w:tcPr>
            <w:tcW w:w="522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PostgreSQL unique(owner, key), payload hash, stored result санал; ADR-002</w:t>
            </w:r>
          </w:p>
        </w:tc>
      </w:tr>
      <w:tr>
        <w:trPr>
          <w:cantSplit/>
        </w:trPr>
        <w:tc>
          <w:tcPr>
            <w:tcW w:w="4638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Order commit ба queue publish хооронд event алдагдах</w:t>
            </w:r>
          </w:p>
        </w:tc>
        <w:tc>
          <w:tcPr>
            <w:tcW w:w="5226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Transactional outbox / dedup санал; implementation pending</w:t>
            </w:r>
          </w:p>
        </w:tc>
      </w:tr>
      <w:tr>
        <w:trPr>
          <w:cantSplit/>
        </w:trPr>
        <w:tc>
          <w:tcPr>
            <w:tcW w:w="4638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“Mapped” ба implemented холилдох боломжтой</w:t>
            </w:r>
          </w:p>
        </w:tc>
        <w:tc>
          <w:tcPr>
            <w:tcW w:w="522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15/15 architecture mapped; runtime verification тусдаа</w:t>
            </w:r>
          </w:p>
        </w:tc>
      </w:tr>
      <w:tr>
        <w:trPr>
          <w:cantSplit/>
        </w:trPr>
        <w:tc>
          <w:tcPr>
            <w:tcW w:w="4638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Stack суусан мэт ойлгогдох</w:t>
            </w:r>
          </w:p>
        </w:tc>
        <w:tc>
          <w:tcPr>
            <w:tcW w:w="5226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Таван container бүгд Proposed target; W06 жишээ нь HTTP server биш</w:t>
            </w:r>
          </w:p>
        </w:tc>
      </w:tr>
    </w:tbl>
    <w:p>
      <w:pPr>
        <w:pStyle w:val="Gap"/>
      </w:pPr>
    </w:p>
    <w:p>
      <w:pPr>
        <w:pStyle w:val="Normal"/>
      </w:pPr>
      <w:r>
        <w:rPr/>
        <w:t xml:space="preserve">Эдгээр нь хүлээн авсан deployment шийдвэр биш; дизайны цоорхойг ил болгож, owner-оор батлуулах санал. Unit test-ээр Redis outage эсвэл payment reconciliation-ийг баталсан гэж мэдүүлээгүй.</w:t>
      </w:r>
    </w:p>
    <w:p>
      <w:pPr>
        <w:pStyle w:val="Heading2"/>
      </w:pPr>
      <w:r>
        <w:rPr/>
        <w:t xml:space="preserve">Гурван MADR ба persona-ийн холбоо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873"/>
        <w:gridCol w:w="2536"/>
        <w:gridCol w:w="2621"/>
        <w:gridCol w:w="2834"/>
      </w:tblGrid>
      <w:tr>
        <w:trPr>
          <w:cantSplit/>
          <w:tblHeader/>
        </w:trPr>
        <w:tc>
          <w:tcPr>
            <w:tcW w:w="1873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ADR</w:t>
            </w:r>
          </w:p>
        </w:tc>
        <w:tc>
          <w:tcPr>
            <w:tcW w:w="2536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Сонголт</w:t>
            </w:r>
          </w:p>
        </w:tc>
        <w:tc>
          <w:tcPr>
            <w:tcW w:w="2621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Persona-ийн асуудал</w:t>
            </w:r>
          </w:p>
        </w:tc>
        <w:tc>
          <w:tcPr>
            <w:tcW w:w="2834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Батлах нөхцөл</w:t>
            </w:r>
          </w:p>
        </w:tc>
      </w:tr>
      <w:tr>
        <w:trPr>
          <w:cantSplit/>
        </w:trPr>
        <w:tc>
          <w:tcPr>
            <w:tcW w:w="1873" w:type="dxa"/>
            <w:vAlign w:val="top"/>
          </w:tcPr>
          <w:p>
            <w:pPr>
              <w:pStyle w:val="TableText"/>
            </w:pPr>
            <w:hyperlink r:id="rIdLink7">
              <w:r>
                <w:rPr>
                  <w:color w:val="176D91"/>
                  <w:u w:val="single"/>
                  <w:sz w:val="17"/>
                </w:rPr>
                <w:t xml:space="preserve">ADR-001</w:t>
              </w:r>
            </w:hyperlink>
          </w:p>
        </w:tc>
        <w:tc>
          <w:tcPr>
            <w:tcW w:w="2536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React + TypeScript; typed API client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Анугийн JSON / auth / error version зөрүү</w:t>
            </w:r>
          </w:p>
        </w:tc>
        <w:tc>
          <w:tcPr>
            <w:tcW w:w="2834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Setup + lockfile; keyboard / LCP evidence</w:t>
            </w:r>
          </w:p>
        </w:tc>
      </w:tr>
      <w:tr>
        <w:trPr>
          <w:cantSplit/>
        </w:trPr>
        <w:tc>
          <w:tcPr>
            <w:tcW w:w="1873" w:type="dxa"/>
            <w:vAlign w:val="top"/>
            <w:shd w:fill="F6F9FA" w:val="clear"/>
          </w:tcPr>
          <w:p>
            <w:pPr>
              <w:pStyle w:val="TableText"/>
            </w:pPr>
            <w:hyperlink r:id="rIdLink8">
              <w:r>
                <w:rPr>
                  <w:color w:val="176D91"/>
                  <w:u w:val="single"/>
                  <w:sz w:val="17"/>
                </w:rPr>
                <w:t xml:space="preserve">ADR-002</w:t>
              </w:r>
            </w:hyperlink>
          </w:p>
        </w:tc>
        <w:tc>
          <w:tcPr>
            <w:tcW w:w="253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7"/>
              </w:rPr>
              <w:t xml:space="preserve">PostgreSQL durable data; Redis queue / cache</w:t>
            </w:r>
          </w:p>
        </w:tc>
        <w:tc>
          <w:tcPr>
            <w:tcW w:w="2621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7"/>
              </w:rPr>
              <w:t xml:space="preserve">Билэгтийн duplicate order / owner / transaction</w:t>
            </w:r>
          </w:p>
        </w:tc>
        <w:tc>
          <w:tcPr>
            <w:tcW w:w="2834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7"/>
              </w:rPr>
              <w:t xml:space="preserve">Unique constraint; 100 retry; restart / cache loss test</w:t>
            </w:r>
          </w:p>
        </w:tc>
      </w:tr>
      <w:tr>
        <w:trPr>
          <w:cantSplit/>
        </w:trPr>
        <w:tc>
          <w:tcPr>
            <w:tcW w:w="1873" w:type="dxa"/>
            <w:vAlign w:val="top"/>
          </w:tcPr>
          <w:p>
            <w:pPr>
              <w:pStyle w:val="TableText"/>
            </w:pPr>
            <w:hyperlink r:id="rIdLink9">
              <w:r>
                <w:rPr>
                  <w:color w:val="176D91"/>
                  <w:u w:val="single"/>
                  <w:sz w:val="17"/>
                </w:rPr>
                <w:t xml:space="preserve">ADR-003</w:t>
              </w:r>
            </w:hyperlink>
          </w:p>
        </w:tc>
        <w:tc>
          <w:tcPr>
            <w:tcW w:w="2536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/api/v1</w:t>
            </w:r>
            <w:r>
              <w:rPr>
                <w:sz w:val="17"/>
              </w:rPr>
              <w:t xml:space="preserve"> REST/JSON; OpenAPI; error contract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Анугийн integration; Номины error тайлбар</w:t>
            </w:r>
          </w:p>
        </w:tc>
        <w:tc>
          <w:tcPr>
            <w:tcW w:w="2834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Schema validation; 2xx / 4xx / 409 contract test</w:t>
            </w:r>
          </w:p>
        </w:tc>
      </w:tr>
    </w:tbl>
    <w:p>
      <w:pPr>
        <w:pStyle w:val="Gap"/>
      </w:pPr>
    </w:p>
    <w:p>
      <w:pPr>
        <w:pStyle w:val="Normal"/>
      </w:pPr>
      <w:r>
        <w:rPr/>
        <w:t xml:space="preserve">Status нь </w:t>
      </w:r>
      <w:r>
        <w:rPr>
          <w:b/>
        </w:rPr>
        <w:t xml:space="preserve">Proposed</w:t>
      </w:r>
      <w:r>
        <w:rPr/>
        <w:t xml:space="preserve">. Approval-гүй шийдвэрийг Accepted болгоогүй; reviewer / date / PR link нэмсний дараа төлөв өөрчилнө.</w:t>
      </w:r>
    </w:p>
    <w:p>
      <w:pPr>
        <w:pStyle w:val="Heading2"/>
      </w:pPr>
      <w:r>
        <w:rPr/>
        <w:t xml:space="preserve">UE-4 — Anti-pattern засварын нотолгоо</w:t>
      </w:r>
    </w:p>
    <w:p>
      <w:pPr>
        <w:pStyle w:val="Normal"/>
      </w:pPr>
      <w:hyperlink r:id="rIdLink10">
        <w:r>
          <w:rPr>
            <w:color w:val="176D91"/>
            <w:u w:val="single"/>
          </w:rPr>
          <w:t xml:space="preserve">Before/After</w:t>
        </w:r>
      </w:hyperlink>
      <w:r>
        <w:rPr/>
        <w:t xml:space="preserve"> нь vague </w:t>
      </w:r>
      <w:r>
        <w:rPr>
          <w:rFonts w:ascii="Consolas" w:hAnsi="Consolas" w:cs="Consolas"/>
          <w:shd w:fill="F0F5F3" w:val="clear"/>
        </w:rPr>
        <w:t xml:space="preserve">Magic Container</w:t>
      </w:r>
      <w:r>
        <w:rPr/>
        <w:t xml:space="preserve">-ийг таван тодорхой үүрэгт салгасан. </w:t>
      </w:r>
      <w:hyperlink r:id="rIdLink11">
        <w:r>
          <w:rPr>
            <w:color w:val="176D91"/>
            <w:u w:val="single"/>
          </w:rPr>
          <w:t xml:space="preserve">ADR-004</w:t>
        </w:r>
      </w:hyperlink>
      <w:r>
        <w:rPr/>
        <w:t xml:space="preserve"> нь сонголт, хувилбар, эерэг/сөрөг үр дагаврыг нэг нүүрт багтаах бүтэцтэй тайлбарлана.</w:t>
      </w:r>
    </w:p>
    <w:p>
      <w:pPr>
        <w:pStyle w:val="Normal"/>
      </w:pPr>
      <w:r>
        <w:rPr/>
        <w:t xml:space="preserve">Засварын checklist: (1) Customer-ийн order journey-г уншигчийн эхлэх цэг болгох; (2) хариуцлага ба data owner-ийг нэрлэх; (3) provider-ийг system boundary-оос тусгаарлах; (4) сум бүрд мэдээлэл / протокол өгөх. Хуучин эх тайлан цаасан ноорог дурдсан ч зураг / date evidence ирээгүй; энэ шинэчлэлээр workshop хийсэн гэж шинээр мэдүүлээгүй.</w:t>
      </w:r>
    </w:p>
    <w:p>
      <w:pPr>
        <w:pStyle w:val="Heading2"/>
      </w:pPr>
      <w:r>
        <w:rPr/>
        <w:t xml:space="preserve">Definition of Done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3406"/>
        <w:gridCol w:w="2743"/>
        <w:gridCol w:w="3715"/>
      </w:tblGrid>
      <w:tr>
        <w:trPr>
          <w:cantSplit/>
          <w:tblHeader/>
        </w:trPr>
        <w:tc>
          <w:tcPr>
            <w:tcW w:w="3406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Шалгуур</w:t>
            </w:r>
          </w:p>
        </w:tc>
        <w:tc>
          <w:tcPr>
            <w:tcW w:w="2743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Баримтын төлөв</w:t>
            </w:r>
          </w:p>
        </w:tc>
        <w:tc>
          <w:tcPr>
            <w:tcW w:w="3715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Баталгаажуулалтын хил</w:t>
            </w:r>
          </w:p>
        </w:tc>
      </w:tr>
      <w:tr>
        <w:trPr>
          <w:cantSplit/>
        </w:trPr>
        <w:tc>
          <w:tcPr>
            <w:tcW w:w="3406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arc42 §1 / §3 / §5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Бэлэн</w:t>
            </w:r>
          </w:p>
        </w:tc>
        <w:tc>
          <w:tcPr>
            <w:tcW w:w="3715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Бүтэн 12 section эсвэл formal compliance биш</w:t>
            </w:r>
          </w:p>
        </w:tc>
      </w:tr>
      <w:tr>
        <w:trPr>
          <w:cantSplit/>
        </w:trPr>
        <w:tc>
          <w:tcPr>
            <w:tcW w:w="340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C4 Context + Container diagram-as-code</w:t>
            </w:r>
          </w:p>
        </w:tc>
        <w:tc>
          <w:tcPr>
            <w:tcW w:w="2743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Markdown + Mermaid-ийн 4 эх, editable SVG-ийн 4 export бэлэн</w:t>
            </w:r>
          </w:p>
        </w:tc>
        <w:tc>
          <w:tcPr>
            <w:tcW w:w="3715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SVG нь offline report layout; Mermaid topology-тай хамт review хийнэ</w:t>
            </w:r>
          </w:p>
        </w:tc>
      </w:tr>
      <w:tr>
        <w:trPr>
          <w:cantSplit/>
        </w:trPr>
        <w:tc>
          <w:tcPr>
            <w:tcW w:w="3406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3 MADR + persona backlink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Бэлэн, Proposed</w:t>
            </w:r>
          </w:p>
        </w:tc>
        <w:tc>
          <w:tcPr>
            <w:tcW w:w="3715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Багийн approval pending</w:t>
            </w:r>
          </w:p>
        </w:tc>
      </w:tr>
      <w:tr>
        <w:trPr>
          <w:cantSplit/>
        </w:trPr>
        <w:tc>
          <w:tcPr>
            <w:tcW w:w="340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Building Block FR coverage ≥80%</w:t>
            </w:r>
          </w:p>
        </w:tc>
        <w:tc>
          <w:tcPr>
            <w:tcW w:w="2743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15/15=100%, orphan=0</w:t>
            </w:r>
          </w:p>
        </w:tc>
        <w:tc>
          <w:tcPr>
            <w:tcW w:w="3715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Architecture mapping; runtime pass хувь биш</w:t>
            </w:r>
          </w:p>
        </w:tc>
      </w:tr>
      <w:tr>
        <w:trPr>
          <w:cantSplit/>
        </w:trPr>
        <w:tc>
          <w:tcPr>
            <w:tcW w:w="3406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UE-4 Before / After + нэг нүүрийн ADR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Бэлэн</w:t>
            </w:r>
          </w:p>
        </w:tc>
        <w:tc>
          <w:tcPr>
            <w:tcW w:w="3715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Сургалтын загвар; deployment refactor биш</w:t>
            </w:r>
          </w:p>
        </w:tc>
      </w:tr>
      <w:tr>
        <w:trPr>
          <w:cantSplit/>
        </w:trPr>
        <w:tc>
          <w:tcPr>
            <w:tcW w:w="340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Course workspace / M4</w:t>
            </w:r>
          </w:p>
        </w:tc>
        <w:tc>
          <w:tcPr>
            <w:tcW w:w="2743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External verification</w:t>
            </w:r>
          </w:p>
        </w:tc>
        <w:tc>
          <w:tcPr>
            <w:tcW w:w="3715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LMS / instructor result pending</w:t>
            </w:r>
          </w:p>
        </w:tc>
      </w:tr>
    </w:tbl>
    <w:p>
      <w:pPr>
        <w:pStyle w:val="Gap"/>
      </w:pPr>
    </w:p>
    <w:p>
      <w:pPr>
        <w:pStyle w:val="Heading2"/>
      </w:pPr>
      <w:r>
        <w:rPr/>
        <w:t xml:space="preserve">Standup / Retrospective-ийн тэмдэглэлийн хүрээ</w:t>
      </w:r>
    </w:p>
    <w:p>
      <w:pPr>
        <w:pStyle w:val="Normal"/>
      </w:pPr>
      <w:r>
        <w:rPr/>
        <w:t xml:space="preserve">Энэ редакцийн үр дүнг standup-ийн гурван асуултаар илэрхийлбэл: arc42-ийн гурван хэсэг хөтлөгдсөн; Context/Container нь кодоор хадгалагдсан; persistence/provider/role-ийн approval үлдсэн. Эдгээр нь бодит багийн standup болсон гэсэн уулзалтын тэмдэглэл биш.</w:t>
      </w:r>
    </w:p>
    <w:p>
      <w:pPr>
        <w:pStyle w:val="Normal"/>
      </w:pPr>
      <w:r>
        <w:rPr/>
        <w:t xml:space="preserve">Retrospective-ийн дүгнэлт: §5-ийн traceability нь FR-15-ийн notification-only зөрүүг илрүүлэхэд тустай. Таван container нь энэ шатанд хангалттай хариуцлагын ялгаа харуулна; баг зөвшөөрсөн гэх нотолгоо байхгүй. Дараагийн sprint-д ADR бүрийн confirmation-ийг бодит PR / test evidence-тэй холбох шаардлагатай.</w:t>
      </w:r>
    </w:p>
    <w:p>
      <w:pPr>
        <w:pStyle w:val="Heading2"/>
      </w:pPr>
      <w:r>
        <w:rPr/>
        <w:t xml:space="preserve">Эргэцүүллийн гурван асуултад өгөх хариу</w:t>
      </w:r>
    </w:p>
    <w:p>
      <w:pPr>
        <w:pStyle w:val="Normal"/>
        <w:ind w:left="240" w:hanging="160"/>
      </w:pPr>
      <w:r>
        <w:rPr/>
        <w:t xml:space="preserve">1. </w:t>
      </w:r>
      <w:r>
        <w:rPr/>
        <w:t xml:space="preserve"/>
      </w:r>
      <w:r>
        <w:rPr>
          <w:b/>
        </w:rPr>
        <w:t xml:space="preserve">Bhatti-аас сорьсон ойлголт:</w:t>
      </w:r>
      <w:r>
        <w:rPr/>
        <w:t xml:space="preserve"> Ch.6pp.112–117-ийн уншигчийн эхлэх цэг ба шошго. Нэг хайрцгийг нэрлэхээс илүү “ямар өгөгдөл, ямар protocol, хэнээс хэнд” гэдгийг суманд тайлбарлах нь зурагт хэрэгтэй утга өгнө.</w:t>
      </w:r>
    </w:p>
    <w:p>
      <w:pPr>
        <w:pStyle w:val="Normal"/>
        <w:ind w:left="240" w:hanging="160"/>
      </w:pPr>
      <w:r>
        <w:rPr/>
        <w:t xml:space="preserve">2. </w:t>
      </w:r>
      <w:r>
        <w:rPr/>
        <w:t xml:space="preserve"/>
      </w:r>
      <w:r>
        <w:rPr>
          <w:b/>
        </w:rPr>
        <w:t xml:space="preserve">Chinchilla-аас цааш хэрэглэх зүйл:</w:t>
      </w:r>
      <w:r>
        <w:rPr/>
        <w:t xml:space="preserve"> Ch.2pp.22–23-ын архитектурын дэлгэрэнгүйг уншигчийн түвшинд сонгох, Ch.4pp.47–51-ийн navigation. Context→Container→ADR→SRS холбоос нь нэг том тайлангаас хэрэгтэй хэсгээ олоход тусална.</w:t>
      </w:r>
    </w:p>
    <w:p>
      <w:pPr>
        <w:pStyle w:val="Normal"/>
        <w:ind w:left="240" w:hanging="160"/>
      </w:pPr>
      <w:r>
        <w:rPr/>
        <w:t xml:space="preserve">3. </w:t>
      </w:r>
      <w:r>
        <w:rPr/>
        <w:t xml:space="preserve"/>
      </w:r>
      <w:r>
        <w:rPr>
          <w:b/>
        </w:rPr>
        <w:t xml:space="preserve">Ном ба практикийн гол зөрүү:</w:t>
      </w:r>
      <w:r>
        <w:rPr/>
        <w:t xml:space="preserve"> Диаграмд хайрцаг нэмэх нь архитектур батлагдсан гэсэн үг биш. Redis / persistence / provider failure-ийн бодит бодлого, code, fault test, owner approval нь зурагнаас гаднах ажлыг шаарддаг. Proposed болон verified төлөвийг ялгах нь энэ зөрүүг нуухгүй.</w:t>
      </w:r>
    </w:p>
    <w:p>
      <w:pPr>
        <w:pStyle w:val="Normal"/>
      </w:pPr>
      <w:r>
        <w:rPr/>
        <w:t xml:space="preserve">Номын chapter / page заалтыг </w:t>
      </w:r>
      <w:hyperlink r:id="rIdLink12">
        <w:r>
          <w:rPr>
            <w:color w:val="176D91"/>
            <w:u w:val="single"/>
          </w:rPr>
          <w:t xml:space="preserve">W04 assignment</w:t>
        </w:r>
      </w:hyperlink>
      <w:r>
        <w:rPr/>
        <w:t xml:space="preserve">-аас авсан. Хэрэглэгчийн </w:t>
      </w:r>
      <w:hyperlink r:id="rIdLink13">
        <w:r>
          <w:rPr>
            <w:color w:val="176D91"/>
            <w:u w:val="single"/>
          </w:rPr>
          <w:t xml:space="preserve">PHTBB4</w:t>
        </w:r>
      </w:hyperlink>
      <w:r>
        <w:rPr/>
        <w:t xml:space="preserve">, </w:t>
      </w:r>
      <w:hyperlink r:id="rIdLink14">
        <w:r>
          <w:rPr>
            <w:color w:val="176D91"/>
            <w:u w:val="single"/>
          </w:rPr>
          <w:t xml:space="preserve">C4 Container</w:t>
        </w:r>
      </w:hyperlink>
      <w:r>
        <w:rPr/>
        <w:t xml:space="preserve">, </w:t>
      </w:r>
      <w:hyperlink r:id="rIdLink15">
        <w:r>
          <w:rPr>
            <w:color w:val="176D91"/>
            <w:u w:val="single"/>
          </w:rPr>
          <w:t xml:space="preserve">C4 Notation</w:t>
        </w:r>
      </w:hyperlink>
      <w:r>
        <w:rPr/>
        <w:t xml:space="preserve">, </w:t>
      </w:r>
      <w:hyperlink r:id="rIdLink16">
        <w:r>
          <w:rPr>
            <w:color w:val="176D91"/>
            <w:u w:val="single"/>
          </w:rPr>
          <w:t xml:space="preserve">arc42 §5</w:t>
        </w:r>
      </w:hyperlink>
      <w:r>
        <w:rPr/>
        <w:t xml:space="preserve">, </w:t>
      </w:r>
      <w:hyperlink r:id="rIdLink17">
        <w:r>
          <w:rPr>
            <w:color w:val="176D91"/>
            <w:u w:val="single"/>
          </w:rPr>
          <w:t xml:space="preserve">MADR</w:t>
        </w:r>
      </w:hyperlink>
      <w:r>
        <w:rPr/>
        <w:t xml:space="preserve"> нь бусад суурь эх сурвалж; албан вэб материалыг 2026-10-13-нд шалгасан.</w:t>
      </w:r>
    </w:p>
    <w:sectPr>
      <w:footerReference w:type="default" r:id="rIdFooter"/>
      <w:headerReference w:type="default" r:id="rIdHeader"/>
      <w:type w:val="nextPage"/>
      <w:pgSz w:w="11906" w:h="16838" w:orient="portrait"/>
      <w:pgMar w:top="1021" w:right="1021" w:bottom="1021" w:left="1021" w:header="400" w:footer="4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rPr/>
      <w:t xml:space="preserve">FoodFlow · 2026-10-13 · </w:t>
    </w:r>
    <w:fldSimple w:instr="PAGE">
      <w:r>
        <w:rPr/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Footer"/>
    </w:pPr>
    <w:r>
      <w:rPr/>
      <w:t xml:space="preserve">FOODFLOW / SOFTWARE PROJECT DOCUMENTATION</w:t>
    </w:r>
  </w:p>
</w:hdr>
</file>

<file path=word/settings.xml><?xml version="1.0" encoding="utf-8"?>
<w:settings xmlns:w="http://schemas.openxmlformats.org/wordprocessingml/2006/main">
  <w:updateFields w:val="true"/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lang w:val="mn-MN"/>
        <w:sz w:val="21"/>
        <w:color w:val="18334A"/>
      </w:rPr>
    </w:rPrDefault>
  </w:docDefaults>
  <w:style w:type="paragraph" w:styleId="Normal" w:default="1">
    <w:name w:val="Normal"/>
    <w:pPr>
      <w:spacing w:before="0" w:after="85" w:line="280" w:lineRule="auto"/>
      <w:widowControl/>
    </w:pPr>
    <w:rPr>
      <w:sz w:val="21"/>
    </w:rPr>
  </w:style>
  <w:style w:type="paragraph" w:styleId="Title">
    <w:name w:val="Title"/>
    <w:basedOn w:val="Normal"/>
    <w:pPr>
      <w:spacing w:before="0" w:after="160" w:line="780" w:lineRule="auto"/>
      <w:widowControl/>
    </w:pPr>
    <w:rPr>
      <w:sz w:val="68"/>
      <w:b/>
    </w:rPr>
  </w:style>
  <w:style w:type="paragraph" w:styleId="Subtitle">
    <w:name w:val="Subtitle"/>
    <w:basedOn w:val="Normal"/>
    <w:pPr>
      <w:spacing w:before="0" w:after="180" w:line="500" w:lineRule="auto"/>
      <w:widowControl/>
    </w:pPr>
    <w:rPr>
      <w:sz w:val="40"/>
    </w:rPr>
  </w:style>
  <w:style w:type="paragraph" w:styleId="TableText">
    <w:name w:val="TableText"/>
    <w:basedOn w:val="Normal"/>
    <w:pPr>
      <w:spacing w:before="0" w:after="0" w:line="230" w:lineRule="auto"/>
      <w:widowControl/>
    </w:pPr>
    <w:rPr>
      <w:sz w:val="18"/>
    </w:rPr>
  </w:style>
  <w:style w:type="paragraph" w:styleId="Caption">
    <w:name w:val="Caption"/>
    <w:basedOn w:val="Normal"/>
    <w:pPr>
      <w:spacing w:before="0" w:after="90" w:line="210" w:lineRule="auto"/>
      <w:widowControl/>
    </w:pPr>
    <w:rPr>
      <w:sz w:val="16"/>
    </w:rPr>
  </w:style>
  <w:style w:type="paragraph" w:styleId="Code">
    <w:name w:val="Code"/>
    <w:basedOn w:val="Normal"/>
    <w:pPr>
      <w:spacing w:before="0" w:after="120" w:line="210" w:lineRule="auto"/>
      <w:widowControl/>
      <w:shd w:fill="F4F7F8" w:val="clear"/>
      <w:ind w:left="140" w:right="140"/>
    </w:pPr>
    <w:rPr>
      <w:sz w:val="16"/>
      <w:rFonts w:ascii="Consolas" w:hAnsi="Consolas" w:cs="Consolas"/>
    </w:rPr>
  </w:style>
  <w:style w:type="paragraph" w:styleId="Quote">
    <w:name w:val="Quote"/>
    <w:basedOn w:val="Normal"/>
    <w:pPr>
      <w:spacing w:before="0" w:after="120" w:line="260" w:lineRule="auto"/>
      <w:widowControl/>
      <w:shd w:fill="F4F7F8" w:val="clear"/>
      <w:ind w:left="140" w:right="140"/>
    </w:pPr>
    <w:rPr>
      <w:sz w:val="20"/>
    </w:rPr>
  </w:style>
  <w:style w:type="paragraph" w:styleId="Gap">
    <w:name w:val="Gap"/>
    <w:basedOn w:val="Normal"/>
    <w:pPr>
      <w:spacing w:before="0" w:after="70" w:line="40" w:lineRule="auto"/>
      <w:widowControl/>
    </w:pPr>
    <w:rPr>
      <w:sz w:val="4"/>
    </w:rPr>
  </w:style>
  <w:style w:type="paragraph" w:styleId="Footer">
    <w:name w:val="Footer"/>
    <w:basedOn w:val="Normal"/>
    <w:pPr>
      <w:spacing w:before="0" w:after="0" w:line="180" w:lineRule="auto"/>
      <w:widowControl/>
    </w:pPr>
    <w:rPr>
      <w:sz w:val="16"/>
    </w:rPr>
  </w:style>
  <w:style w:type="paragraph" w:styleId="Heading1">
    <w:name w:val="Heading1"/>
    <w:basedOn w:val="Normal"/>
    <w:pPr>
      <w:spacing w:before="0" w:after="115" w:line="494" w:lineRule="auto"/>
      <w:widowControl/>
      <w:keepNext/>
      <w:outlineLvl w:val="0"/>
    </w:pPr>
    <w:rPr>
      <w:sz w:val="38"/>
      <w:b/>
    </w:rPr>
  </w:style>
  <w:style w:type="paragraph" w:styleId="Heading2">
    <w:name w:val="Heading2"/>
    <w:basedOn w:val="Normal"/>
    <w:pPr>
      <w:spacing w:before="140" w:after="115" w:line="351" w:lineRule="auto"/>
      <w:widowControl/>
      <w:keepNext/>
      <w:outlineLvl w:val="1"/>
    </w:pPr>
    <w:rPr>
      <w:sz w:val="27"/>
      <w:b/>
    </w:rPr>
  </w:style>
  <w:style w:type="paragraph" w:styleId="Heading3">
    <w:name w:val="Heading3"/>
    <w:basedOn w:val="Normal"/>
    <w:pPr>
      <w:spacing w:before="140" w:after="115" w:line="299" w:lineRule="auto"/>
      <w:widowControl/>
      <w:keepNext/>
      <w:outlineLvl w:val="2"/>
    </w:pPr>
    <w:rPr>
      <w:sz w:val="23"/>
      <w:b/>
    </w:rPr>
  </w:style>
  <w:style w:type="paragraph" w:styleId="Heading4">
    <w:name w:val="Heading4"/>
    <w:basedOn w:val="Normal"/>
    <w:pPr>
      <w:spacing w:before="140" w:after="115" w:line="273" w:lineRule="auto"/>
      <w:widowControl/>
      <w:keepNext/>
      <w:outlineLvl w:val="3"/>
    </w:pPr>
    <w:rPr>
      <w:sz w:val="21"/>
      <w:b/>
    </w:rPr>
  </w:style>
  <w:style w:type="paragraph" w:styleId="Heading5">
    <w:name w:val="Heading5"/>
    <w:basedOn w:val="Normal"/>
    <w:pPr>
      <w:spacing w:before="140" w:after="115" w:line="273" w:lineRule="auto"/>
      <w:widowControl/>
      <w:keepNext/>
      <w:outlineLvl w:val="4"/>
    </w:pPr>
    <w:rPr>
      <w:sz w:val="21"/>
      <w:b/>
    </w:rPr>
  </w:style>
  <w:style w:type="paragraph" w:styleId="Heading6">
    <w:name w:val="Heading6"/>
    <w:basedOn w:val="Normal"/>
    <w:pPr>
      <w:spacing w:before="140" w:after="115" w:line="273" w:lineRule="auto"/>
      <w:widowControl/>
      <w:keepNext/>
      <w:outlineLvl w:val="5"/>
    </w:pPr>
    <w:rPr>
      <w:sz w:val="21"/>
      <w:b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Footer" Type="http://schemas.openxmlformats.org/officeDocument/2006/relationships/footer" Target="footer1.xml" /><Relationship Id="rIdHeader" Type="http://schemas.openxmlformats.org/officeDocument/2006/relationships/header" Target="header1.xml" /><Relationship Id="rIdLink1" Type="http://schemas.openxmlformats.org/officeDocument/2006/relationships/hyperlink" Target="https://github.com/Tuguldur0222/foodflow-documentation/blob/main/docs/architecture/index.md" TargetMode="External" /><Relationship Id="rIdLink2" Type="http://schemas.openxmlformats.org/officeDocument/2006/relationships/hyperlink" Target="https://github.com/Tuguldur0222/foodflow-documentation/blob/main/docs/architecture/adr/index.md" TargetMode="External" /><Relationship Id="rIdLink3" Type="http://schemas.openxmlformats.org/officeDocument/2006/relationships/hyperlink" Target="https://github.com/Tuguldur0222/foodflow-documentation/blob/main/docs/architecture/ue-4-rework.md" TargetMode="External" /><Relationship Id="rIdLink4" Type="http://schemas.openxmlformats.org/officeDocument/2006/relationships/hyperlink" Target="https://github.com/Tuguldur0222/foodflow-documentation/blob/main/docs/requirements/traceability.md" TargetMode="External" /><Relationship Id="rIdLink5" Type="http://schemas.openxmlformats.org/officeDocument/2006/relationships/hyperlink" Target="https://github.com/Tuguldur0222/foodflow-documentation/blob/main/docs/architecture/index.md#c4-level-1--system-context" TargetMode="External" /><Relationship Id="rIdLink6" Type="http://schemas.openxmlformats.org/officeDocument/2006/relationships/hyperlink" Target="https://github.com/Tuguldur0222/foodflow-documentation/blob/main/docs/architecture/index.md#c4-level-2--container" TargetMode="External" /><Relationship Id="rIdLink7" Type="http://schemas.openxmlformats.org/officeDocument/2006/relationships/hyperlink" Target="https://github.com/Tuguldur0222/foodflow-documentation/blob/main/docs/architecture/adr/0001-web-app-stack.md" TargetMode="External" /><Relationship Id="rIdLink8" Type="http://schemas.openxmlformats.org/officeDocument/2006/relationships/hyperlink" Target="https://github.com/Tuguldur0222/foodflow-documentation/blob/main/docs/architecture/adr/0002-persistence-and-idempotency.md" TargetMode="External" /><Relationship Id="rIdLink9" Type="http://schemas.openxmlformats.org/officeDocument/2006/relationships/hyperlink" Target="https://github.com/Tuguldur0222/foodflow-documentation/blob/main/docs/architecture/adr/0003-versioned-api-contract.md" TargetMode="External" /><Relationship Id="rIdLink10" Type="http://schemas.openxmlformats.org/officeDocument/2006/relationships/hyperlink" Target="https://github.com/Tuguldur0222/foodflow-documentation/blob/main/docs/architecture/ue-4-rework.md" TargetMode="External" /><Relationship Id="rIdLink11" Type="http://schemas.openxmlformats.org/officeDocument/2006/relationships/hyperlink" Target="https://github.com/Tuguldur0222/foodflow-documentation/blob/main/docs/architecture/adr/0004-container-responsibilities.md" TargetMode="External" /><Relationship Id="rIdLink12" Type="http://schemas.openxmlformats.org/officeDocument/2006/relationships/hyperlink" Target="https://github.com/Tuguldur0222/foodflow-documentation/blob/main/sources/README.md" TargetMode="External" /><Relationship Id="rIdLink13" Type="http://schemas.openxmlformats.org/officeDocument/2006/relationships/hyperlink" Target="https://github.com/Tuguldur0222/foodflow-documentation/blob/main/sources/README.md" TargetMode="External" /><Relationship Id="rIdLink14" Type="http://schemas.openxmlformats.org/officeDocument/2006/relationships/hyperlink" Target="https://c4model.com/diagrams/container" TargetMode="External" /><Relationship Id="rIdLink15" Type="http://schemas.openxmlformats.org/officeDocument/2006/relationships/hyperlink" Target="https://c4model.com/diagrams/notation" TargetMode="External" /><Relationship Id="rIdLink16" Type="http://schemas.openxmlformats.org/officeDocument/2006/relationships/hyperlink" Target="https://docs.arc42.org/section-5/" TargetMode="External" /><Relationship Id="rIdLink17" Type="http://schemas.openxmlformats.org/officeDocument/2006/relationships/hyperlink" Target="https://adr.github.io/madr/" TargetMode="External" /></Relationships>
</file>

<file path=docProps/core.xml><?xml version="1.0" encoding="utf-8"?>
<cp:coreProperties xmlns:cp="http://schemas.openxmlformats.org/package/2006/metadata/core-properties" xmlns:dc="http://purl.org/dc/elements/1.1/">
  <dc:title>Семинар 04 — arc42, C4 ба ADR</dc:title>
  <dc:creator>Ю. Төгөлдөр · 23B1NUM2350</dc:creator>
  <dc:description>Editable export from canonical FoodFlow Markdown. 2026-10-13</dc:description>
</cp:coreProperties>
</file>