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Relationship Id="rIdCore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rPr/>
        <w:t xml:space="preserve">Семинар 05 · OpenAPI 3.0 ба кодын жишээ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802"/>
        <w:gridCol w:w="6062"/>
      </w:tblGrid>
      <w:tr>
        <w:trPr>
          <w:cantSplit/>
          <w:tblHeader/>
        </w:trPr>
        <w:tc>
          <w:tcPr>
            <w:tcW w:w="3802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Баримт бичгийн мэдээлэл</w:t>
            </w:r>
          </w:p>
        </w:tc>
        <w:tc>
          <w:tcPr>
            <w:tcW w:w="6062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Утга</w:t>
            </w:r>
          </w:p>
        </w:tc>
      </w:tr>
      <w:tr>
        <w:trPr>
          <w:cantSplit/>
        </w:trPr>
        <w:tc>
          <w:tcPr>
            <w:tcW w:w="380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Төсөл</w:t>
            </w:r>
          </w:p>
        </w:tc>
        <w:tc>
          <w:tcPr>
            <w:tcW w:w="606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FoodFlow — хоол захиалгын систем</w:t>
            </w:r>
          </w:p>
        </w:tc>
      </w:tr>
      <w:tr>
        <w:trPr>
          <w:cantSplit/>
        </w:trPr>
        <w:tc>
          <w:tcPr>
            <w:tcW w:w="380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Зохиогч</w:t>
            </w:r>
          </w:p>
        </w:tc>
        <w:tc>
          <w:tcPr>
            <w:tcW w:w="606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Ю. Төгөлдөр · 23B1NUM2350</w:t>
            </w:r>
          </w:p>
        </w:tc>
      </w:tr>
      <w:tr>
        <w:trPr>
          <w:cantSplit/>
        </w:trPr>
        <w:tc>
          <w:tcPr>
            <w:tcW w:w="380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Шинэчилсэн огноо</w:t>
            </w:r>
          </w:p>
        </w:tc>
        <w:tc>
          <w:tcPr>
            <w:tcW w:w="606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2026-10-13</w:t>
            </w:r>
          </w:p>
        </w:tc>
      </w:tr>
      <w:tr>
        <w:trPr>
          <w:cantSplit/>
        </w:trPr>
        <w:tc>
          <w:tcPr>
            <w:tcW w:w="380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Үндсэн уншигч</w:t>
            </w:r>
          </w:p>
        </w:tc>
        <w:tc>
          <w:tcPr>
            <w:tcW w:w="606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API ашиглах хөгжүүлэгч, баримтжуулалт хянах багш</w:t>
            </w:r>
          </w:p>
        </w:tc>
      </w:tr>
      <w:tr>
        <w:trPr>
          <w:cantSplit/>
        </w:trPr>
        <w:tc>
          <w:tcPr>
            <w:tcW w:w="380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Суурь эх</w:t>
            </w:r>
          </w:p>
        </w:tc>
        <w:tc>
          <w:tcPr>
            <w:tcW w:w="606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Хавсаргасан W05 handout;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PHTBB5 (1).pdf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PHTBB5.yaml</w:t>
            </w:r>
            <w:r>
              <w:rPr>
                <w:sz w:val="18"/>
              </w:rPr>
              <w:t xml:space="preserve">; W03 SRS</w:t>
            </w:r>
          </w:p>
        </w:tc>
      </w:tr>
      <w:tr>
        <w:trPr>
          <w:cantSplit/>
        </w:trPr>
        <w:tc>
          <w:tcPr>
            <w:tcW w:w="380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Хэрэгжүүлэлтийн хүрээ</w:t>
            </w:r>
          </w:p>
        </w:tc>
        <w:tc>
          <w:tcPr>
            <w:tcW w:w="606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Таван FoodFlow write endpoint, найман кодын жишээ, локал mock, хоёр HTML харагдац</w:t>
            </w:r>
          </w:p>
        </w:tc>
      </w:tr>
    </w:tbl>
    <w:p>
      <w:pPr>
        <w:pStyle w:val="Gap"/>
      </w:pPr>
    </w:p>
    <w:p>
      <w:pPr>
        <w:pStyle w:val="Heading2"/>
      </w:pPr>
      <w:r>
        <w:rPr/>
        <w:t xml:space="preserve">Зорилго ба хамрах хүрээ</w:t>
      </w:r>
    </w:p>
    <w:p>
      <w:pPr>
        <w:pStyle w:val="Normal"/>
      </w:pPr>
      <w:r>
        <w:rPr/>
        <w:t xml:space="preserve">Энэхүү семинарын зорилго нь FoodFlow-ийн API гэрээг OpenAPI 3.0.3 стандартаар</w:t>
      </w:r>
      <w:r>
        <w:rPr/>
        <w:t xml:space="preserve"> </w:t>
      </w:r>
      <w:r>
        <w:rPr/>
        <w:t xml:space="preserve">машинаар унших хэлбэрт оруулах, хүсэлт ба хариуг ажилладаг жишээгээр тайлбарлах,</w:t>
      </w:r>
      <w:r>
        <w:rPr/>
        <w:t xml:space="preserve"> </w:t>
      </w:r>
      <w:r>
        <w:rPr/>
        <w:t xml:space="preserve">кодын жишээний чанарыг Bhatti-ийн таван зарчмаар үнэлэхэд оршино. API гэрээг</w:t>
      </w:r>
      <w:r>
        <w:rPr/>
        <w:t xml:space="preserve"> </w:t>
      </w:r>
      <w:r>
        <w:rPr/>
        <w:t xml:space="preserve">Swagger UI болон Redoc гэсэн хоёр харагдацаар уншиж, хөгжүүлэгчийн туршилт ба</w:t>
      </w:r>
      <w:r>
        <w:rPr/>
        <w:t xml:space="preserve"> </w:t>
      </w:r>
      <w:r>
        <w:rPr/>
        <w:t xml:space="preserve">лавлах баримтжуулалтын хэрэгцээнд аль нь тохирохыг тодорхойлов.</w:t>
      </w:r>
    </w:p>
    <w:p>
      <w:pPr>
        <w:pStyle w:val="Normal"/>
      </w:pPr>
      <w:r>
        <w:rPr/>
        <w:t xml:space="preserve">FoodFlow-ийн таван endpoint нь сагсанд хоол нэмэх, тоо өөрчлөх, хүргэлтийн хаяг</w:t>
      </w:r>
      <w:r>
        <w:rPr/>
        <w:t xml:space="preserve"> </w:t>
      </w:r>
      <w:r>
        <w:rPr/>
        <w:t xml:space="preserve">хадгалах, төлбөрийн арга сонгох, захиалга үүсгэх үйлдлийг хамарна. UE-5 заавал</w:t>
      </w:r>
      <w:r>
        <w:rPr/>
        <w:t xml:space="preserve"> </w:t>
      </w:r>
      <w:r>
        <w:rPr/>
        <w:t xml:space="preserve">гүйцэтгэх даалгаврын Corg.ly гурван жишээг тусад нь бэлтгэв. Corg.ly-ийн зураг,</w:t>
      </w:r>
      <w:r>
        <w:rPr/>
        <w:t xml:space="preserve"> </w:t>
      </w:r>
      <w:r>
        <w:rPr/>
        <w:t xml:space="preserve">дуу, webhook нь FoodFlow бүтээгдэхүүнд нэмсэн боломж биш.</w:t>
      </w:r>
    </w:p>
    <w:p>
      <w:pPr>
        <w:pStyle w:val="Normal"/>
      </w:pPr>
      <w:r>
        <w:rPr/>
        <w:t xml:space="preserve">Локал mock нь API гэрээ болон кодын жишээг давтагдах нөхцөлд шалгах сургалтын</w:t>
      </w:r>
      <w:r>
        <w:rPr/>
        <w:t xml:space="preserve"> </w:t>
      </w:r>
      <w:r>
        <w:rPr/>
        <w:t xml:space="preserve">хэрэгсэл. Бодит хэрэглэгчийн нэвтрэлт, JWT гарын үсэг, төлбөр, хүргэлт, өгөгдлийн</w:t>
      </w:r>
      <w:r>
        <w:rPr/>
        <w:t xml:space="preserve"> </w:t>
      </w:r>
      <w:r>
        <w:rPr/>
        <w:t xml:space="preserve">сангийн найдвартай хадгалалт эсвэл нийтийн API үйлчилгээний баталгаа биш.</w:t>
      </w:r>
    </w:p>
    <w:p>
      <w:pPr>
        <w:pStyle w:val="Heading2"/>
      </w:pPr>
      <w:r>
        <w:rPr/>
        <w:t xml:space="preserve">1. Эх хувилбарыг хянаж хийсэн сайжруулалт</w:t>
      </w:r>
    </w:p>
    <w:p>
      <w:pPr>
        <w:pStyle w:val="Normal"/>
      </w:pPr>
      <w:r>
        <w:rPr/>
        <w:t xml:space="preserve">Шинэчилсэн </w:t>
      </w:r>
      <w:r>
        <w:rPr>
          <w:rFonts w:ascii="Consolas" w:hAnsi="Consolas" w:cs="Consolas"/>
          <w:shd w:fill="F0F5F3" w:val="clear"/>
        </w:rPr>
        <w:t xml:space="preserve">PHTBB5 (1).pdf</w:t>
      </w:r>
      <w:r>
        <w:rPr/>
        <w:t xml:space="preserve"> болон хэрэглэгчийн өгсөн YAML-ийг үндсэн эхээр авч,</w:t>
      </w:r>
      <w:r>
        <w:rPr/>
        <w:t xml:space="preserve"> </w:t>
      </w:r>
      <w:r>
        <w:rPr/>
        <w:t xml:space="preserve">хуучин </w:t>
      </w:r>
      <w:r>
        <w:rPr>
          <w:rFonts w:ascii="Consolas" w:hAnsi="Consolas" w:cs="Consolas"/>
          <w:shd w:fill="F0F5F3" w:val="clear"/>
        </w:rPr>
        <w:t xml:space="preserve">PHTBB5.pdf</w:t>
      </w:r>
      <w:r>
        <w:rPr/>
        <w:t xml:space="preserve">-ийг хувилбарын түүх гэж үзэв. Хавсаргасан баримт дахь</w:t>
      </w:r>
      <w:r>
        <w:rPr/>
        <w:t xml:space="preserve"> </w:t>
      </w:r>
      <w:r>
        <w:rPr/>
        <w:t xml:space="preserve">сургалтын зааврыг хэрэгжүүлэх шалгуур болгон ашигласан; жишээ production URL,</w:t>
      </w:r>
      <w:r>
        <w:rPr/>
        <w:t xml:space="preserve"> </w:t>
      </w:r>
      <w:r>
        <w:rPr/>
        <w:t xml:space="preserve">гүйцэтгэсэн гэж бичсэн шалгалтыг энэ repo-ийн баталгаажсан төлөвтэй адилтгаагүй.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617"/>
        <w:gridCol w:w="5247"/>
      </w:tblGrid>
      <w:tr>
        <w:trPr>
          <w:cantSplit/>
          <w:tblHeader/>
        </w:trPr>
        <w:tc>
          <w:tcPr>
            <w:tcW w:w="4617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Хяналтаар илэрсэн зүйл</w:t>
            </w:r>
          </w:p>
        </w:tc>
        <w:tc>
          <w:tcPr>
            <w:tcW w:w="5247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Шинэчилсэн шийдэл</w:t>
            </w:r>
          </w:p>
        </w:tc>
      </w:tr>
      <w:tr>
        <w:trPr>
          <w:cantSplit/>
        </w:trPr>
        <w:tc>
          <w:tcPr>
            <w:tcW w:w="461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API гэрээ, жишээ, серверийн зан төлөвийг хамтад нь дахин шалгах хэрэгцээ</w:t>
            </w:r>
          </w:p>
        </w:tc>
        <w:tc>
          <w:tcPr>
            <w:tcW w:w="524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Нэг canonical YAML, ажилладаг mock, response example-тай тулгах автомат тест нэмэв.</w:t>
            </w:r>
          </w:p>
        </w:tc>
      </w:tr>
      <w:tr>
        <w:trPr>
          <w:cantSplit/>
        </w:trPr>
        <w:tc>
          <w:tcPr>
            <w:tcW w:w="461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Idempotency header 24 цаг гэж заасан ч бодит хугацааны нотолгоо шаардана</w:t>
            </w:r>
          </w:p>
        </w:tc>
        <w:tc>
          <w:tcPr>
            <w:tcW w:w="524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Хэрэглэгчээр тусгаарласан 24 цагийн кэш; хугацааны зааг болон 100 зэрэгцээ retry-г тестээр шалгана.</w:t>
            </w:r>
          </w:p>
        </w:tc>
      </w:tr>
      <w:tr>
        <w:trPr>
          <w:cantSplit/>
        </w:trPr>
        <w:tc>
          <w:tcPr>
            <w:tcW w:w="461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Schema-д талбарын нэр байсан ч зарим утгын хязгаар тодорхойгүй</w:t>
            </w:r>
          </w:p>
        </w:tc>
        <w:tc>
          <w:tcPr>
            <w:tcW w:w="524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Хаягийн урт, хороо, тоо хэмжээ, найман цифртэй утас, үл мэдэгдэх талбарын бодлогыг тодруулав.</w:t>
            </w:r>
          </w:p>
        </w:tc>
      </w:tr>
      <w:tr>
        <w:trPr>
          <w:cantSplit/>
        </w:trPr>
        <w:tc>
          <w:tcPr>
            <w:tcW w:w="461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Demo bearer token-ийг JWT гэж эндүүрэх боломж</w:t>
            </w:r>
          </w:p>
        </w:tc>
        <w:tc>
          <w:tcPr>
            <w:tcW w:w="524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JWT хэрэгжүүлээгүйг тодорхой бичиж, ил тод хоёр хэрэглэгчийн fixture-ээр өмчлөл шалгав.</w:t>
            </w:r>
          </w:p>
        </w:tc>
      </w:tr>
      <w:tr>
        <w:trPr>
          <w:cantSplit/>
        </w:trPr>
        <w:tc>
          <w:tcPr>
            <w:tcW w:w="461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Mock хариуг production баталгаа гэж унших боломж</w:t>
            </w:r>
          </w:p>
        </w:tc>
        <w:tc>
          <w:tcPr>
            <w:tcW w:w="524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Локал шалгалт, нийтийн HTML, бодит sandbox болон production баталгааг ялгав.</w:t>
            </w:r>
          </w:p>
        </w:tc>
      </w:tr>
      <w:tr>
        <w:trPr>
          <w:cantSplit/>
        </w:trPr>
        <w:tc>
          <w:tcPr>
            <w:tcW w:w="461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Corg.ly зураг, дууны гарал тодорхой байх шаардлага</w:t>
            </w:r>
          </w:p>
        </w:tc>
        <w:tc>
          <w:tcPr>
            <w:tcW w:w="524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Шатрын хээтэй JPEG, синус WAV үүсгэж, синтетик гарал ба хязгаарыг файл бүрд тайлбарлав.</w:t>
            </w:r>
          </w:p>
        </w:tc>
      </w:tr>
      <w:tr>
        <w:trPr>
          <w:cantSplit/>
        </w:trPr>
        <w:tc>
          <w:tcPr>
            <w:tcW w:w="461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Хоёр renderer-ийн давхардсан YAML хувилбар зөрөх эрсдэл</w:t>
            </w:r>
          </w:p>
        </w:tc>
        <w:tc>
          <w:tcPr>
            <w:tcW w:w="524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Swagger UI, Redoc хоёул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docs/api/openapi.yaml</w:t>
            </w:r>
            <w:r>
              <w:rPr>
                <w:sz w:val="18"/>
              </w:rPr>
              <w:t xml:space="preserve">-ийг уншина.</w:t>
            </w:r>
          </w:p>
        </w:tc>
      </w:tr>
    </w:tbl>
    <w:p>
      <w:pPr>
        <w:pStyle w:val="Gap"/>
      </w:pPr>
    </w:p>
    <w:p>
      <w:pPr>
        <w:pStyle w:val="Heading2"/>
      </w:pPr>
      <w:r>
        <w:rPr/>
        <w:t xml:space="preserve">2. OpenAPI гэрээ ба SRS-ийн холбоо</w:t>
      </w:r>
    </w:p>
    <w:p>
      <w:pPr>
        <w:pStyle w:val="Normal"/>
      </w:pPr>
      <w:r>
        <w:rPr/>
        <w:t xml:space="preserve">API-ийн үндсэн эх: </w:t>
      </w:r>
      <w:hyperlink r:id="rIdLink1">
        <w:r>
          <w:rPr>
            <w:color w:val="176D91"/>
            <w:u w:val="single"/>
          </w:rPr>
          <w:t xml:space="preserve">docs/api/openapi.yaml</w:t>
        </w:r>
      </w:hyperlink>
      <w:r>
        <w:rPr/>
        <w:t xml:space="preserve">.</w:t>
      </w:r>
      <w:r>
        <w:rPr/>
        <w:t xml:space="preserve"> </w:t>
      </w:r>
      <w:r>
        <w:rPr/>
        <w:t xml:space="preserve">Шаардлагын дугаар нь хамгийн сүүлд ирүүлсэн </w:t>
      </w:r>
      <w:r>
        <w:rPr>
          <w:rFonts w:ascii="Consolas" w:hAnsi="Consolas" w:cs="Consolas"/>
          <w:shd w:fill="F0F5F3" w:val="clear"/>
        </w:rPr>
        <w:t xml:space="preserve">Week_03_FoodFlow.docx</w:t>
      </w:r>
      <w:r>
        <w:rPr/>
        <w:t xml:space="preserve">-ийн</w:t>
      </w:r>
      <w:r>
        <w:rPr/>
        <w:t xml:space="preserve"> </w:t>
      </w:r>
      <w:r>
        <w:rPr/>
        <w:t xml:space="preserve">суурьтай нийцнэ. Эдгээрийн гүйцэтгэл нь W03-ийн бүх шаардлага хэрэгжсэн гэсэн</w:t>
      </w:r>
      <w:r>
        <w:rPr/>
        <w:t xml:space="preserve"> </w:t>
      </w:r>
      <w:r>
        <w:rPr/>
        <w:t xml:space="preserve">утга агуулахгүй.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865"/>
        <w:gridCol w:w="2766"/>
        <w:gridCol w:w="2116"/>
        <w:gridCol w:w="2117"/>
      </w:tblGrid>
      <w:tr>
        <w:trPr>
          <w:cantSplit/>
          <w:tblHeader/>
        </w:trPr>
        <w:tc>
          <w:tcPr>
            <w:tcW w:w="2865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Үйлдэл</w:t>
            </w:r>
          </w:p>
        </w:tc>
        <w:tc>
          <w:tcPr>
            <w:tcW w:w="276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Параметр, хүсэлтийн бие</w:t>
            </w:r>
          </w:p>
        </w:tc>
        <w:tc>
          <w:tcPr>
            <w:tcW w:w="2116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Амжилттай хариу</w:t>
            </w:r>
          </w:p>
        </w:tc>
        <w:tc>
          <w:tcPr>
            <w:tcW w:w="2117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SRS</w:t>
            </w:r>
          </w:p>
        </w:tc>
      </w:tr>
      <w:tr>
        <w:trPr>
          <w:cantSplit/>
        </w:trPr>
        <w:tc>
          <w:tcPr>
            <w:tcW w:w="2865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POST /api/v1/carts/{cart_id}/items</w:t>
            </w:r>
          </w:p>
        </w:tc>
        <w:tc>
          <w:tcPr>
            <w:tcW w:w="2766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cart_id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food_id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quantity</w:t>
            </w:r>
          </w:p>
        </w:tc>
        <w:tc>
          <w:tcPr>
            <w:tcW w:w="2116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200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CartItem</w:t>
            </w:r>
          </w:p>
        </w:tc>
        <w:tc>
          <w:tcPr>
            <w:tcW w:w="2117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FR-04</w:t>
            </w:r>
          </w:p>
        </w:tc>
      </w:tr>
      <w:tr>
        <w:trPr>
          <w:cantSplit/>
        </w:trPr>
        <w:tc>
          <w:tcPr>
            <w:tcW w:w="286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PATCH /api/v1/carts/{cart_id}/items/{item_id}</w:t>
            </w:r>
          </w:p>
        </w:tc>
        <w:tc>
          <w:tcPr>
            <w:tcW w:w="276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cart_id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item_id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quantity</w:t>
            </w:r>
            <w:r>
              <w:rPr>
                <w:sz w:val="17"/>
              </w:rPr>
              <w:t xml:space="preserve"> 1–10</w:t>
            </w:r>
          </w:p>
        </w:tc>
        <w:tc>
          <w:tcPr>
            <w:tcW w:w="211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200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CartItem</w:t>
            </w:r>
          </w:p>
        </w:tc>
        <w:tc>
          <w:tcPr>
            <w:tcW w:w="211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FR-05</w:t>
            </w:r>
          </w:p>
        </w:tc>
      </w:tr>
      <w:tr>
        <w:trPr>
          <w:cantSplit/>
        </w:trPr>
        <w:tc>
          <w:tcPr>
            <w:tcW w:w="2865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PUT /api/v1/orders/{draft_id}/address</w:t>
            </w:r>
          </w:p>
        </w:tc>
        <w:tc>
          <w:tcPr>
            <w:tcW w:w="2766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draft_id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district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khoroo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street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phone</w:t>
            </w:r>
          </w:p>
        </w:tc>
        <w:tc>
          <w:tcPr>
            <w:tcW w:w="2116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200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SavedAddress</w:t>
            </w:r>
          </w:p>
        </w:tc>
        <w:tc>
          <w:tcPr>
            <w:tcW w:w="2117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FR-08</w:t>
            </w:r>
          </w:p>
        </w:tc>
      </w:tr>
      <w:tr>
        <w:trPr>
          <w:cantSplit/>
        </w:trPr>
        <w:tc>
          <w:tcPr>
            <w:tcW w:w="286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PUT /api/v1/orders/{draft_id}/payment-method</w:t>
            </w:r>
          </w:p>
        </w:tc>
        <w:tc>
          <w:tcPr>
            <w:tcW w:w="276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draft_id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payment_method</w:t>
            </w:r>
          </w:p>
        </w:tc>
        <w:tc>
          <w:tcPr>
            <w:tcW w:w="2116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200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SavedPayment</w:t>
            </w:r>
          </w:p>
        </w:tc>
        <w:tc>
          <w:tcPr>
            <w:tcW w:w="211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7"/>
              </w:rPr>
              <w:t xml:space="preserve">FR-10</w:t>
            </w:r>
          </w:p>
        </w:tc>
      </w:tr>
      <w:tr>
        <w:trPr>
          <w:cantSplit/>
        </w:trPr>
        <w:tc>
          <w:tcPr>
            <w:tcW w:w="2865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POST /api/v1/orders</w:t>
            </w:r>
          </w:p>
        </w:tc>
        <w:tc>
          <w:tcPr>
            <w:tcW w:w="2766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7"/>
              </w:rPr>
              <w:t xml:space="preserve">Idempotency-Key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cart_id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address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7"/>
              </w:rPr>
              <w:t xml:space="preserve">payment_method</w:t>
            </w:r>
          </w:p>
        </w:tc>
        <w:tc>
          <w:tcPr>
            <w:tcW w:w="2116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201 шинэ захиалга; 200 ижил key, ижил JSON агуулгын давталт</w:t>
            </w:r>
          </w:p>
        </w:tc>
        <w:tc>
          <w:tcPr>
            <w:tcW w:w="2117" w:type="dxa"/>
            <w:vAlign w:val="top"/>
          </w:tcPr>
          <w:p>
            <w:pPr>
              <w:pStyle w:val="TableText"/>
            </w:pPr>
            <w:r>
              <w:rPr>
                <w:sz w:val="17"/>
              </w:rPr>
              <w:t xml:space="preserve">FR-11, NFR-02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Таван үйлдэл бүгд </w:t>
      </w:r>
      <w:r>
        <w:rPr>
          <w:rFonts w:ascii="Consolas" w:hAnsi="Consolas" w:cs="Consolas"/>
          <w:shd w:fill="F0F5F3" w:val="clear"/>
        </w:rPr>
        <w:t xml:space="preserve">requestBody</w:t>
      </w:r>
      <w:r>
        <w:rPr/>
        <w:t xml:space="preserve">, parameter, authentication, success response,</w:t>
      </w:r>
      <w:r>
        <w:rPr/>
        <w:t xml:space="preserve"> </w:t>
      </w:r>
      <w:r>
        <w:rPr/>
        <w:t xml:space="preserve">error response болон schema доторх жишээтэй. Read-only GET хүсэлтэд зохиомол</w:t>
      </w:r>
      <w:r>
        <w:rPr/>
        <w:t xml:space="preserve"> </w:t>
      </w:r>
      <w:r>
        <w:rPr/>
        <w:t xml:space="preserve">body нэмээгүй. Шинэ захиалгад 201 хэрэглэх нь FR-11-той нийцнэ; 200 нь өмнө</w:t>
      </w:r>
      <w:r>
        <w:rPr/>
        <w:t xml:space="preserve"> </w:t>
      </w:r>
      <w:r>
        <w:rPr/>
        <w:t xml:space="preserve">үүссэн захиалгын idempotent replay-д зориулагдана.</w:t>
      </w:r>
    </w:p>
    <w:p>
      <w:pPr>
        <w:pStyle w:val="Normal"/>
      </w:pPr>
      <w:r>
        <w:rPr>
          <w:rFonts w:ascii="Consolas" w:hAnsi="Consolas" w:cs="Consolas"/>
          <w:shd w:fill="F0F5F3" w:val="clear"/>
        </w:rPr>
        <w:t xml:space="preserve">components</w:t>
      </w:r>
      <w:r>
        <w:rPr/>
        <w:t xml:space="preserve"> хэсэгт </w:t>
      </w:r>
      <w:r>
        <w:rPr>
          <w:rFonts w:ascii="Consolas" w:hAnsi="Consolas" w:cs="Consolas"/>
          <w:shd w:fill="F0F5F3" w:val="clear"/>
        </w:rPr>
        <w:t xml:space="preserve">BearerAuth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CartId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ItemId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DraftId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IdempotencyKey</w:t>
      </w:r>
      <w:r>
        <w:rPr/>
        <w:t xml:space="preserve">,</w:t>
      </w:r>
      <w:r>
        <w:rPr/>
        <w:t xml:space="preserve"> </w:t>
      </w:r>
      <w:r>
        <w:rPr/>
        <w:t xml:space="preserve">request/response schema болон нийтлэг алдаануудыг дахин ашиглав. Бүх endpoint</w:t>
      </w:r>
      <w:r>
        <w:rPr/>
        <w:t xml:space="preserve"> </w:t>
      </w:r>
      <w:r>
        <w:rPr/>
        <w:t xml:space="preserve">400, 401, 404, 409, 413, 415, 500 хариутай. </w:t>
      </w:r>
      <w:r>
        <w:rPr>
          <w:rFonts w:ascii="Consolas" w:hAnsi="Consolas" w:cs="Consolas"/>
          <w:shd w:fill="F0F5F3" w:val="clear"/>
        </w:rPr>
        <w:t xml:space="preserve">Error</w:t>
      </w:r>
      <w:r>
        <w:rPr/>
        <w:t xml:space="preserve"> schema нь </w:t>
      </w:r>
      <w:r>
        <w:rPr>
          <w:rFonts w:ascii="Consolas" w:hAnsi="Consolas" w:cs="Consolas"/>
          <w:shd w:fill="F0F5F3" w:val="clear"/>
        </w:rPr>
        <w:t xml:space="preserve">code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message</w:t>
      </w:r>
      <w:r>
        <w:rPr/>
        <w:t xml:space="preserve"> </w:t>
      </w:r>
      <w:r>
        <w:rPr/>
        <w:t xml:space="preserve">талбарыг шаарддаг; </w:t>
      </w:r>
      <w:r>
        <w:rPr>
          <w:rFonts w:ascii="Consolas" w:hAnsi="Consolas" w:cs="Consolas"/>
          <w:shd w:fill="F0F5F3" w:val="clear"/>
        </w:rPr>
        <w:t xml:space="preserve">field</w:t>
      </w:r>
      <w:r>
        <w:rPr/>
        <w:t xml:space="preserve"> сонголттой. Өмчлөл зөрчигдвөл 404 буцаах бодлого нь</w:t>
      </w:r>
      <w:r>
        <w:rPr/>
        <w:t xml:space="preserve"> </w:t>
      </w:r>
      <w:r>
        <w:rPr/>
        <w:t xml:space="preserve">NFR-03-ийн нууцлалын зорилгыг локал хүрээнд дэмжинэ.</w:t>
      </w:r>
    </w:p>
    <w:p>
      <w:pPr>
        <w:pStyle w:val="Heading2"/>
      </w:pPr>
      <w:r>
        <w:rPr/>
        <w:t xml:space="preserve">3. FoodFlow-ийн таван ажилладаг жишээ</w:t>
      </w:r>
    </w:p>
    <w:p>
      <w:pPr>
        <w:pStyle w:val="Normal"/>
      </w:pPr>
      <w:hyperlink r:id="rIdLink2">
        <w:r>
          <w:rPr>
            <w:color w:val="176D91"/>
            <w:u w:val="single"/>
          </w:rPr>
          <w:t xml:space="preserve">Python скрипт</w:t>
        </w:r>
      </w:hyperlink>
      <w:r>
        <w:rPr/>
        <w:t xml:space="preserve"> нь Windows дээр стандарт</w:t>
      </w:r>
      <w:r>
        <w:rPr/>
        <w:t xml:space="preserve"> </w:t>
      </w:r>
      <w:r>
        <w:rPr/>
        <w:t xml:space="preserve">сангаар ажиллана. </w:t>
      </w:r>
      <w:hyperlink r:id="rIdLink3">
        <w:r>
          <w:rPr>
            <w:color w:val="176D91"/>
            <w:u w:val="single"/>
          </w:rPr>
          <w:t xml:space="preserve">cURL хувилбар</w:t>
        </w:r>
      </w:hyperlink>
      <w:r>
        <w:rPr/>
        <w:t xml:space="preserve"> нь HTTP</w:t>
      </w:r>
      <w:r>
        <w:rPr/>
        <w:t xml:space="preserve"> </w:t>
      </w:r>
      <w:r>
        <w:rPr/>
        <w:t xml:space="preserve">хүсэлт бүрийн method, header, payload-ийг тусад нь харуулна. Хоёр хувилбар ижил</w:t>
      </w:r>
      <w:r>
        <w:rPr/>
        <w:t xml:space="preserve"> </w:t>
      </w:r>
      <w:r>
        <w:rPr/>
        <w:t xml:space="preserve">домэйн утга, ижил дараалал хэрэглэнэ.</w:t>
      </w:r>
    </w:p>
    <w:p>
      <w:pPr>
        <w:pStyle w:val="Normal"/>
      </w:pPr>
      <w:r>
        <w:rPr/>
        <w:t xml:space="preserve">Эхлээд локал серверийг repo-ийн үндсэн хавтсаас асаана:</w:t>
      </w:r>
    </w:p>
    <w:p>
      <w:pPr>
        <w:pStyle w:val="Caption"/>
      </w:pPr>
      <w:r>
        <w:rPr/>
        <w:t xml:space="preserve">POWERSHELL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python examples/mock_api.py</w:t>
      </w:r>
    </w:p>
    <w:p>
      <w:pPr>
        <w:pStyle w:val="Normal"/>
      </w:pPr>
      <w:r>
        <w:rPr/>
        <w:t xml:space="preserve">Өөр терминалд таван хүсэлтийг дарааллаар явуулна:</w:t>
      </w:r>
    </w:p>
    <w:p>
      <w:pPr>
        <w:pStyle w:val="Caption"/>
      </w:pPr>
      <w:r>
        <w:rPr/>
        <w:t xml:space="preserve">POWERSHELL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python examples/foodflow_requests.py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61"/>
        <w:gridCol w:w="5803"/>
      </w:tblGrid>
      <w:tr>
        <w:trPr>
          <w:cantSplit/>
          <w:tblHeader/>
        </w:trPr>
        <w:tc>
          <w:tcPr>
            <w:tcW w:w="4061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Алхам</w:t>
            </w:r>
          </w:p>
        </w:tc>
        <w:tc>
          <w:tcPr>
            <w:tcW w:w="5803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Үр дүнгийн гол утга</w:t>
            </w:r>
          </w:p>
        </w:tc>
      </w:tr>
      <w:tr>
        <w:trPr>
          <w:cantSplit/>
        </w:trPr>
        <w:tc>
          <w:tcPr>
            <w:tcW w:w="4061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Хоол нэмэх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cart_101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ci_1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food_id=7</w:t>
            </w:r>
            <w:r>
              <w:rPr>
                <w:sz w:val="18"/>
              </w:rPr>
              <w:t xml:space="preserve">, quantity 1, subtotal 18,000 ₮.</w:t>
            </w:r>
          </w:p>
        </w:tc>
      </w:tr>
      <w:tr>
        <w:trPr>
          <w:cantSplit/>
        </w:trPr>
        <w:tc>
          <w:tcPr>
            <w:tcW w:w="4061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Тоо өөрчлөх</w:t>
            </w:r>
          </w:p>
        </w:tc>
        <w:tc>
          <w:tcPr>
            <w:tcW w:w="5803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Quantity 2, subtotal 36,000 ₮.</w:t>
            </w:r>
          </w:p>
        </w:tc>
      </w:tr>
      <w:tr>
        <w:trPr>
          <w:cantSplit/>
        </w:trPr>
        <w:tc>
          <w:tcPr>
            <w:tcW w:w="4061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Хаяг хадгалах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draft_1024</w:t>
            </w:r>
            <w:r>
              <w:rPr>
                <w:sz w:val="18"/>
              </w:rPr>
              <w:t xml:space="preserve">, дөрвөн талбартай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address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4061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Төлбөрийн арга</w:t>
            </w:r>
          </w:p>
        </w:tc>
        <w:tc>
          <w:tcPr>
            <w:tcW w:w="5803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payment_method=QPay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4061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Захиалга үүсгэх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order_id=FF-1024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status=Pending</w:t>
            </w:r>
            <w:r>
              <w:rPr>
                <w:sz w:val="18"/>
              </w:rPr>
              <w:t xml:space="preserve">, total 39,000 ₮.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Нийт үнэ нь 36,000 ₮ хоол + 3,000 ₮ хүргэлт. Таван response example-ийг</w:t>
      </w:r>
      <w:r>
        <w:rPr/>
        <w:t xml:space="preserve"> </w:t>
      </w:r>
      <w:r>
        <w:rPr/>
        <w:t xml:space="preserve">mock серверийн бодит HTTP хариутай тэнцүүлж, JSON schema-гаар давхар шалгана.</w:t>
      </w:r>
      <w:r>
        <w:rPr/>
        <w:t xml:space="preserve"> </w:t>
      </w:r>
      <w:r>
        <w:rPr/>
        <w:t xml:space="preserve">Ижил хэрэглэгч, key, body-тай хүсэлтийг давтахад 200 болон өмнөх захиалга;</w:t>
      </w:r>
      <w:r>
        <w:rPr/>
        <w:t xml:space="preserve"> </w:t>
      </w:r>
      <w:r>
        <w:rPr/>
        <w:t xml:space="preserve">ижил key, өөр body-тай бол 409 буцаахыг тусдаа тестээр батална.</w:t>
      </w:r>
    </w:p>
    <w:p>
      <w:pPr>
        <w:pStyle w:val="Normal"/>
      </w:pPr>
      <w:r>
        <w:rPr/>
        <w:t xml:space="preserve">Draft-д хадгалсан хаяг, төлбөрийн аргыг эцсийн POST body-д дахин илгээдэг.</w:t>
      </w:r>
      <w:r>
        <w:rPr/>
        <w:t xml:space="preserve"> </w:t>
      </w:r>
      <w:r>
        <w:rPr/>
        <w:t xml:space="preserve">Mock нь нэг хоолны мөртэй сагсыг үзүүлнэ; олон хоол, хөнгөлөлт, хүргэлтийн</w:t>
      </w:r>
      <w:r>
        <w:rPr/>
        <w:t xml:space="preserve"> </w:t>
      </w:r>
      <w:r>
        <w:rPr/>
        <w:t xml:space="preserve">цаг сонгох болон захиалгын цаашдын төлөвийн шилжилтийг хэрэгжүүлээгүй.</w:t>
      </w:r>
    </w:p>
    <w:p>
      <w:pPr>
        <w:pStyle w:val="Heading2"/>
      </w:pPr>
      <w:r>
        <w:rPr/>
        <w:t xml:space="preserve">4. UE-5 Corg.ly-ийн гурван Python жишээ</w:t>
      </w:r>
    </w:p>
    <w:p>
      <w:pPr>
        <w:pStyle w:val="Normal"/>
      </w:pPr>
      <w:r>
        <w:rPr/>
        <w:t xml:space="preserve">Хавсаргасан handout-ийн UE-5 даалгаврыг орхилгүй, ижил локал сервер дээр</w:t>
      </w:r>
      <w:r>
        <w:rPr/>
        <w:t xml:space="preserve"> </w:t>
      </w:r>
      <w:r>
        <w:rPr/>
        <w:t xml:space="preserve">тусдаа </w:t>
      </w:r>
      <w:r>
        <w:rPr>
          <w:rFonts w:ascii="Consolas" w:hAnsi="Consolas" w:cs="Consolas"/>
          <w:shd w:fill="F0F5F3" w:val="clear"/>
        </w:rPr>
        <w:t xml:space="preserve">/v1</w:t>
      </w:r>
      <w:r>
        <w:rPr/>
        <w:t xml:space="preserve"> маршрутаар хэрэгжүүлэв. Жишээ бүрийн өмнө зорилго, оролт,</w:t>
      </w:r>
      <w:r>
        <w:rPr/>
        <w:t xml:space="preserve"> </w:t>
      </w:r>
      <w:r>
        <w:rPr/>
        <w:t xml:space="preserve">өгөгдлийн гарал болон mock-ийн хязгаарыг module docstring-д тайлбарлав.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32"/>
        <w:gridCol w:w="2394"/>
        <w:gridCol w:w="4838"/>
      </w:tblGrid>
      <w:tr>
        <w:trPr>
          <w:cantSplit/>
          <w:tblHeader/>
        </w:trPr>
        <w:tc>
          <w:tcPr>
            <w:tcW w:w="2632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Endpoint</w:t>
            </w:r>
          </w:p>
        </w:tc>
        <w:tc>
          <w:tcPr>
            <w:tcW w:w="2394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Python жишээ</w:t>
            </w:r>
          </w:p>
        </w:tc>
        <w:tc>
          <w:tcPr>
            <w:tcW w:w="4838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Локал хариу ба хязгаар</w:t>
            </w:r>
          </w:p>
        </w:tc>
      </w:tr>
      <w:tr>
        <w:trPr>
          <w:cantSplit/>
        </w:trPr>
        <w:tc>
          <w:tcPr>
            <w:tcW w:w="2632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POST /v1/pets/upload-photo</w:t>
            </w:r>
          </w:p>
        </w:tc>
        <w:tc>
          <w:tcPr>
            <w:tcW w:w="2394" w:type="dxa"/>
            <w:vAlign w:val="top"/>
          </w:tcPr>
          <w:p>
            <w:pPr>
              <w:pStyle w:val="TableText"/>
            </w:pPr>
            <w:hyperlink r:id="rIdLink4">
              <w:r>
                <w:rPr>
                  <w:color w:val="176D91"/>
                  <w:u w:val="single"/>
                  <w:sz w:val="18"/>
                </w:rPr>
                <w:t xml:space="preserve">Multipart зураг upload</w:t>
              </w:r>
            </w:hyperlink>
          </w:p>
        </w:tc>
        <w:tc>
          <w:tcPr>
            <w:tcW w:w="483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201,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corgi_98231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uploaded</w:t>
            </w:r>
            <w:r>
              <w:rPr>
                <w:sz w:val="18"/>
              </w:rPr>
              <w:t xml:space="preserve">. JPEG нь үүсгэсэн шатрын хээ; сервер fixture зургийн локал URL буцаана.</w:t>
            </w:r>
          </w:p>
        </w:tc>
      </w:tr>
      <w:tr>
        <w:trPr>
          <w:cantSplit/>
        </w:trPr>
        <w:tc>
          <w:tcPr>
            <w:tcW w:w="26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POST /v1/audio/translate-bark</w:t>
            </w:r>
          </w:p>
        </w:tc>
        <w:tc>
          <w:tcPr>
            <w:tcW w:w="2394" w:type="dxa"/>
            <w:vAlign w:val="top"/>
            <w:shd w:fill="F6F9FA" w:val="clear"/>
          </w:tcPr>
          <w:p>
            <w:pPr>
              <w:pStyle w:val="TableText"/>
            </w:pPr>
            <w:hyperlink r:id="rIdLink5">
              <w:r>
                <w:rPr>
                  <w:color w:val="176D91"/>
                  <w:u w:val="single"/>
                  <w:sz w:val="18"/>
                </w:rPr>
                <w:t xml:space="preserve">Audio хүсэлт</w:t>
              </w:r>
            </w:hyperlink>
          </w:p>
        </w:tc>
        <w:tc>
          <w:tcPr>
            <w:tcW w:w="4838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200,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language=en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translation="I want to play."</w:t>
            </w:r>
            <w:r>
              <w:rPr>
                <w:sz w:val="18"/>
              </w:rPr>
              <w:t xml:space="preserve">. WAV нь синтетик тон; орчуулга тогтмол mock утга.</w:t>
            </w:r>
          </w:p>
        </w:tc>
      </w:tr>
      <w:tr>
        <w:trPr>
          <w:cantSplit/>
        </w:trPr>
        <w:tc>
          <w:tcPr>
            <w:tcW w:w="2632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POST /v1/webhooks/subscribe</w:t>
            </w:r>
          </w:p>
        </w:tc>
        <w:tc>
          <w:tcPr>
            <w:tcW w:w="2394" w:type="dxa"/>
            <w:vAlign w:val="top"/>
          </w:tcPr>
          <w:p>
            <w:pPr>
              <w:pStyle w:val="TableText"/>
            </w:pPr>
            <w:hyperlink r:id="rIdLink6">
              <w:r>
                <w:rPr>
                  <w:color w:val="176D91"/>
                  <w:u w:val="single"/>
                  <w:sz w:val="18"/>
                </w:rPr>
                <w:t xml:space="preserve">Webhook бүртгэл</w:t>
              </w:r>
            </w:hyperlink>
          </w:p>
        </w:tc>
        <w:tc>
          <w:tcPr>
            <w:tcW w:w="483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201,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sub_corgi_1024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active</w:t>
            </w:r>
            <w:r>
              <w:rPr>
                <w:sz w:val="18"/>
              </w:rPr>
              <w:t xml:space="preserve">. Callback URL-ийг хариунд тусгана; event илгээхгүй.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Гурван жишээг mock сервер ассан үед ажиллуулна:</w:t>
      </w:r>
    </w:p>
    <w:p>
      <w:pPr>
        <w:pStyle w:val="Caption"/>
      </w:pPr>
      <w:r>
        <w:rPr/>
        <w:t xml:space="preserve">POWERSHELL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python examples/corgly_upload_photo.py</w:t>
        <w:br/>
        <w:t xml:space="preserve">python examples/corgly_translate_bark.py</w:t>
        <w:br/>
        <w:t xml:space="preserve">python examples/corgly_subscribe_webhook.py</w:t>
      </w:r>
    </w:p>
    <w:p>
      <w:pPr>
        <w:pStyle w:val="Normal"/>
      </w:pPr>
      <w:hyperlink r:id="rIdLink7">
        <w:r>
          <w:rPr>
            <w:color w:val="176D91"/>
            <w:u w:val="single"/>
          </w:rPr>
          <w:t xml:space="preserve">Fixture-ийн тайлбар</w:t>
        </w:r>
      </w:hyperlink>
      <w:r>
        <w:rPr/>
        <w:t xml:space="preserve">-т JPEG/WAV-ийн формат,</w:t>
      </w:r>
      <w:r>
        <w:rPr/>
        <w:t xml:space="preserve"> </w:t>
      </w:r>
      <w:r>
        <w:rPr/>
        <w:t xml:space="preserve">синтетик гарал болон дахин үүсгэх аргыг бичсэн. Бодит амьтны мэдээлэл, дуу</w:t>
      </w:r>
      <w:r>
        <w:rPr/>
        <w:t xml:space="preserve"> </w:t>
      </w:r>
      <w:r>
        <w:rPr/>
        <w:t xml:space="preserve">таних AI, гаднын Corg.ly production үйлчилгээ ашигласан гэж мэдэгдээгүй.</w:t>
      </w:r>
    </w:p>
    <w:p>
      <w:pPr>
        <w:pStyle w:val="Heading2"/>
      </w:pPr>
      <w:r>
        <w:rPr/>
        <w:t xml:space="preserve">5. Bhatti-ийн таван зарчмын үнэлгээ</w:t>
      </w:r>
    </w:p>
    <w:p>
      <w:pPr>
        <w:pStyle w:val="Normal"/>
      </w:pPr>
      <w:r>
        <w:rPr/>
        <w:t xml:space="preserve">Найман жишээний </w:t>
      </w:r>
      <w:hyperlink r:id="rIdLink8">
        <w:r>
          <w:rPr>
            <w:color w:val="176D91"/>
            <w:u w:val="single"/>
          </w:rPr>
          <w:t xml:space="preserve">бүрэн scorecard</w:t>
        </w:r>
      </w:hyperlink>
      <w:r>
        <w:rPr/>
        <w:t xml:space="preserve">-д Explained,</w:t>
      </w:r>
      <w:r>
        <w:rPr/>
        <w:t xml:space="preserve"> </w:t>
      </w:r>
      <w:r>
        <w:rPr/>
        <w:t xml:space="preserve">Concise, Clear, Usable, Trustworthy үзүүлэлт тус бүрийн оноо, нотолгоо,</w:t>
      </w:r>
      <w:r>
        <w:rPr/>
        <w:t xml:space="preserve"> </w:t>
      </w:r>
      <w:r>
        <w:rPr/>
        <w:t xml:space="preserve">үлдсэн хязгаарыг тэмдэглэв. Нийлбэр нь </w:t>
      </w:r>
      <w:r>
        <w:rPr>
          <w:b/>
        </w:rPr>
        <w:t xml:space="preserve">184/200 буюу 92%</w:t>
      </w:r>
      <w:r>
        <w:rPr/>
        <w:t xml:space="preserve">, таван онооны</w:t>
      </w:r>
      <w:r>
        <w:rPr/>
        <w:t xml:space="preserve"> </w:t>
      </w:r>
      <w:r>
        <w:rPr/>
        <w:t xml:space="preserve">дундаж </w:t>
      </w:r>
      <w:r>
        <w:rPr>
          <w:b/>
        </w:rPr>
        <w:t xml:space="preserve">4.6/5</w:t>
      </w:r>
      <w:r>
        <w:rPr/>
        <w:t xml:space="preserve">. Энэ нь локал сургалтын хүрээний өөрийн үнэлгээ юм.</w:t>
      </w:r>
    </w:p>
    <w:p>
      <w:pPr>
        <w:pStyle w:val="Normal"/>
      </w:pPr>
      <w:r>
        <w:rPr/>
        <w:t xml:space="preserve">Trustworthy үзүүлэлтэд production баталгаа байхгүй тул бүх жишээнд 4/5</w:t>
      </w:r>
      <w:r>
        <w:rPr/>
        <w:t xml:space="preserve"> </w:t>
      </w:r>
      <w:r>
        <w:rPr/>
        <w:t xml:space="preserve">оноо өгсөн. Оролтын домэйн утга тодорхой, fixture repo-д байгаа, standalone</w:t>
      </w:r>
      <w:r>
        <w:rPr/>
        <w:t xml:space="preserve"> </w:t>
      </w:r>
      <w:r>
        <w:rPr/>
        <w:t xml:space="preserve">скриптүүд тестээр ажилладаг учраас Usable үзүүлэлтэд 5/5 өгсөн.</w:t>
      </w:r>
      <w:r>
        <w:rPr/>
        <w:t xml:space="preserve"> </w:t>
      </w:r>
      <w:r>
        <w:rPr/>
        <w:t xml:space="preserve">Multipart request болон бүтэн address payload шаардлагатай мөрийг Concise</w:t>
      </w:r>
      <w:r>
        <w:rPr/>
        <w:t xml:space="preserve"> </w:t>
      </w:r>
      <w:r>
        <w:rPr/>
        <w:t xml:space="preserve">зарчмын нэрээр хасаагүй.</w:t>
      </w:r>
    </w:p>
    <w:p>
      <w:pPr>
        <w:pStyle w:val="Heading2"/>
      </w:pPr>
      <w:r>
        <w:rPr/>
        <w:t xml:space="preserve">6. Swagger UI, Redoc ба сонголтын тайлбар</w:t>
      </w:r>
    </w:p>
    <w:p>
      <w:pPr>
        <w:pStyle w:val="Normal"/>
      </w:pPr>
      <w:r>
        <w:rPr/>
        <w:t xml:space="preserve">Хоёр HTML харагдац ижил YAML уншина. Локал сервер дээр</w:t>
      </w:r>
      <w:r>
        <w:rPr/>
        <w:t xml:space="preserve"> </w:t>
      </w:r>
      <w:hyperlink r:id="rIdLink9">
        <w:r>
          <w:rPr>
            <w:color w:val="176D91"/>
            <w:u w:val="single"/>
          </w:rPr>
          <w:t xml:space="preserve">Swagger UI</w:t>
        </w:r>
      </w:hyperlink>
      <w:r>
        <w:rPr/>
        <w:t xml:space="preserve"> нь token, хүсэлт, HTTP хариуг</w:t>
      </w:r>
      <w:r>
        <w:rPr/>
        <w:t xml:space="preserve"> </w:t>
      </w:r>
      <w:r>
        <w:rPr/>
        <w:t xml:space="preserve">туршихад; </w:t>
      </w:r>
      <w:hyperlink r:id="rIdLink10">
        <w:r>
          <w:rPr>
            <w:color w:val="176D91"/>
            <w:u w:val="single"/>
          </w:rPr>
          <w:t xml:space="preserve">Redoc</w:t>
        </w:r>
      </w:hyperlink>
      <w:r>
        <w:rPr/>
        <w:t xml:space="preserve"> нь навигац, schema,</w:t>
      </w:r>
      <w:r>
        <w:rPr/>
        <w:t xml:space="preserve"> </w:t>
      </w:r>
      <w:r>
        <w:rPr/>
        <w:t xml:space="preserve">жишээг хамтатган уншихад зориулагдсан.</w:t>
      </w:r>
    </w:p>
    <w:p>
      <w:pPr>
        <w:pStyle w:val="Normal"/>
      </w:pPr>
      <w:hyperlink r:id="rIdLink11">
        <w:r>
          <w:rPr>
            <w:color w:val="176D91"/>
            <w:u w:val="single"/>
          </w:rPr>
          <w:t xml:space="preserve">100 үгийн сонголтын тайлбар</w:t>
        </w:r>
      </w:hyperlink>
      <w:r>
        <w:rPr/>
        <w:t xml:space="preserve">-т хайлт, унших</w:t>
      </w:r>
      <w:r>
        <w:rPr/>
        <w:t xml:space="preserve"> </w:t>
      </w:r>
      <w:r>
        <w:rPr/>
        <w:t xml:space="preserve">бүтэц, Try it out-ийн хэрэглээг харьцуулав. Зөвхөн үндсэн passage-ийн</w:t>
      </w:r>
      <w:r>
        <w:rPr/>
        <w:t xml:space="preserve"> </w:t>
      </w:r>
      <w:r>
        <w:rPr/>
        <w:t xml:space="preserve">хоосон зайгаар салгасан үгсийг тоолох автомат шалгалттай; гарчиг, тайлбар,</w:t>
      </w:r>
      <w:r>
        <w:rPr/>
        <w:t xml:space="preserve"> </w:t>
      </w:r>
      <w:r>
        <w:rPr/>
        <w:t xml:space="preserve">эх сурвалж тоонд орохгүй. Хэрэглэгчийн бодит хэмжилт хийгээгүй тул хайлтын</w:t>
      </w:r>
      <w:r>
        <w:rPr/>
        <w:t xml:space="preserve"> </w:t>
      </w:r>
      <w:r>
        <w:rPr/>
        <w:t xml:space="preserve">хурдыг хэмжсэн мэт дүгнээгүй.</w:t>
      </w:r>
    </w:p>
    <w:p>
      <w:pPr>
        <w:pStyle w:val="Normal"/>
      </w:pPr>
      <w:r>
        <w:rPr/>
        <w:t xml:space="preserve">Static HTML-ийг нийтэлсэн байдал болон API-ийн ажиллах чадвар тусдаа шалгуур.</w:t>
      </w:r>
      <w:r>
        <w:rPr/>
        <w:t xml:space="preserve"> </w:t>
      </w:r>
      <w:r>
        <w:rPr/>
        <w:t xml:space="preserve">Одоогийн OpenAPI </w:t>
      </w:r>
      <w:r>
        <w:rPr>
          <w:rFonts w:ascii="Consolas" w:hAnsi="Consolas" w:cs="Consolas"/>
          <w:shd w:fill="F0F5F3" w:val="clear"/>
        </w:rPr>
        <w:t xml:space="preserve">servers.url</w:t>
      </w:r>
      <w:r>
        <w:rPr/>
        <w:t xml:space="preserve"> локал хаягтай тул нийтийн HTTPS хуудсаас</w:t>
      </w:r>
      <w:r>
        <w:rPr/>
        <w:t xml:space="preserve"> </w:t>
      </w:r>
      <w:r>
        <w:rPr/>
        <w:t xml:space="preserve">Try it out ажиллахын тулд браузерын бодлого, локал серверийн хүртээмжийг шалгана.</w:t>
      </w:r>
      <w:r>
        <w:rPr/>
        <w:t xml:space="preserve"> </w:t>
      </w:r>
      <w:r>
        <w:rPr/>
        <w:t xml:space="preserve">Нийтийн sandbox шаардлагыг бүрэн хаахын өмнө тохирох HTTPS API сервер,</w:t>
      </w:r>
      <w:r>
        <w:rPr/>
        <w:t xml:space="preserve"> </w:t>
      </w:r>
      <w:r>
        <w:rPr/>
        <w:t xml:space="preserve">CORS болон браузерын бодит хүсэлтийн нотолгоо хэрэгтэй.</w:t>
      </w:r>
    </w:p>
    <w:p>
      <w:pPr>
        <w:pStyle w:val="Heading2"/>
      </w:pPr>
      <w:r>
        <w:rPr/>
        <w:t xml:space="preserve">7. Баталгаажуулалт ба Definition of Done</w:t>
      </w:r>
    </w:p>
    <w:p>
      <w:pPr>
        <w:pStyle w:val="Normal"/>
      </w:pPr>
      <w:r>
        <w:rPr/>
        <w:t xml:space="preserve">Тестүүд schema, response example, server behavior болон кодын жишээг хамтад нь</w:t>
      </w:r>
      <w:r>
        <w:rPr/>
        <w:t xml:space="preserve"> </w:t>
      </w:r>
      <w:r>
        <w:rPr/>
        <w:t xml:space="preserve">шалгана. Python helper нь OpenAPI 3.0.3 стандартын бүрэн linter биш; стандартад</w:t>
      </w:r>
      <w:r>
        <w:rPr/>
        <w:t xml:space="preserve"> </w:t>
      </w:r>
      <w:r>
        <w:rPr/>
        <w:t xml:space="preserve">нийцэх үндсэн шалгалт нь Redocly CLI хэвээр байна.</w:t>
      </w:r>
    </w:p>
    <w:p>
      <w:pPr>
        <w:pStyle w:val="Caption"/>
      </w:pPr>
      <w:r>
        <w:rPr/>
        <w:t xml:space="preserve">POWERSHELL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python -m unittest tests.test_openapi tests.test_mock_api -v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432"/>
        <w:gridCol w:w="6432"/>
      </w:tblGrid>
      <w:tr>
        <w:trPr>
          <w:cantSplit/>
          <w:tblHeader/>
        </w:trPr>
        <w:tc>
          <w:tcPr>
            <w:tcW w:w="3432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Шалгуур</w:t>
            </w:r>
          </w:p>
        </w:tc>
        <w:tc>
          <w:tcPr>
            <w:tcW w:w="6432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Нотолгоо, бодит төлөв</w:t>
            </w:r>
          </w:p>
        </w:tc>
      </w:tr>
      <w:tr>
        <w:trPr>
          <w:cantSplit/>
        </w:trPr>
        <w:tc>
          <w:tcPr>
            <w:tcW w:w="3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OpenAPI 3.0.3, ≥5 endpoint, auth, reusable components, examples</w:t>
            </w:r>
          </w:p>
        </w:tc>
        <w:tc>
          <w:tcPr>
            <w:tcW w:w="6432" w:type="dxa"/>
            <w:vAlign w:val="top"/>
          </w:tcPr>
          <w:p>
            <w:pPr>
              <w:pStyle w:val="TableText"/>
            </w:pPr>
            <w:hyperlink r:id="rIdLink12">
              <w:r>
                <w:rPr>
                  <w:color w:val="176D91"/>
                  <w:u w:val="single"/>
                  <w:sz w:val="18"/>
                </w:rPr>
                <w:t xml:space="preserve">YAML</w:t>
              </w:r>
            </w:hyperlink>
            <w:r>
              <w:rPr>
                <w:sz w:val="18"/>
              </w:rPr>
              <w:t xml:space="preserve">, </w:t>
            </w:r>
            <w:hyperlink r:id="rIdLink13">
              <w:r>
                <w:rPr>
                  <w:color w:val="176D91"/>
                  <w:u w:val="single"/>
                  <w:sz w:val="18"/>
                </w:rPr>
                <w:t xml:space="preserve">OpenAPI тест</w:t>
              </w:r>
            </w:hyperlink>
            <w:r>
              <w:rPr>
                <w:sz w:val="18"/>
              </w:rPr>
              <w:t xml:space="preserve">. Таван үйлдэл, local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$ref</w:t>
            </w:r>
            <w:r>
              <w:rPr>
                <w:sz w:val="18"/>
              </w:rPr>
              <w:t xml:space="preserve">, request/response schema example-уудыг шалгана.</w:t>
            </w:r>
          </w:p>
        </w:tc>
      </w:tr>
      <w:tr>
        <w:trPr>
          <w:cantSplit/>
        </w:trPr>
        <w:tc>
          <w:tcPr>
            <w:tcW w:w="34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Redocly CLI, zero errors</w:t>
            </w:r>
          </w:p>
        </w:tc>
        <w:tc>
          <w:tcPr>
            <w:tcW w:w="64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Redocly CLI 2.62.1-ийн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recommended</w:t>
            </w:r>
            <w:r>
              <w:rPr>
                <w:sz w:val="18"/>
              </w:rPr>
              <w:t xml:space="preserve"> lint амжилттай (exit 0): алдаагүй, </w:t>
            </w:r>
            <w:r>
              <w:rPr>
                <w:rFonts w:ascii="Consolas" w:hAnsi="Consolas" w:cs="Consolas"/>
                <w:shd w:fill="F0F5F3" w:val="clear"/>
                <w:sz w:val="18"/>
              </w:rPr>
              <w:t xml:space="preserve">info-license</w:t>
            </w:r>
            <w:r>
              <w:rPr>
                <w:sz w:val="18"/>
              </w:rPr>
              <w:t xml:space="preserve">-ийн нэг warning үлдсэн. Лицензийн эрх олгох шийдвэр хийгээгүй тул зохиомол MIT metadata нэмээгүй. </w:t>
            </w:r>
            <w:hyperlink r:id="rIdLink14">
              <w:r>
                <w:rPr>
                  <w:color w:val="176D91"/>
                  <w:u w:val="single"/>
                  <w:sz w:val="18"/>
                </w:rPr>
                <w:t xml:space="preserve">Ажиллуулалтын бүртгэл</w:t>
              </w:r>
            </w:hyperlink>
            <w:r>
              <w:rPr>
                <w:sz w:val="18"/>
              </w:rPr>
              <w:t xml:space="preserve">-тэй тулгана.</w:t>
            </w:r>
          </w:p>
        </w:tc>
      </w:tr>
      <w:tr>
        <w:trPr>
          <w:cantSplit/>
        </w:trPr>
        <w:tc>
          <w:tcPr>
            <w:tcW w:w="3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Найман кодын жишээ, дундаж ≥80%</w:t>
            </w:r>
          </w:p>
        </w:tc>
        <w:tc>
          <w:tcPr>
            <w:tcW w:w="6432" w:type="dxa"/>
            <w:vAlign w:val="top"/>
          </w:tcPr>
          <w:p>
            <w:pPr>
              <w:pStyle w:val="TableText"/>
            </w:pPr>
            <w:hyperlink r:id="rIdLink15">
              <w:r>
                <w:rPr>
                  <w:color w:val="176D91"/>
                  <w:u w:val="single"/>
                  <w:sz w:val="18"/>
                </w:rPr>
                <w:t xml:space="preserve">Scorecard</w:t>
              </w:r>
            </w:hyperlink>
            <w:r>
              <w:rPr>
                <w:sz w:val="18"/>
              </w:rPr>
              <w:t xml:space="preserve">, </w:t>
            </w:r>
            <w:hyperlink r:id="rIdLink16">
              <w:r>
                <w:rPr>
                  <w:color w:val="176D91"/>
                  <w:u w:val="single"/>
                  <w:sz w:val="18"/>
                </w:rPr>
                <w:t xml:space="preserve">HTTP тест</w:t>
              </w:r>
            </w:hyperlink>
            <w:r>
              <w:rPr>
                <w:sz w:val="18"/>
              </w:rPr>
              <w:t xml:space="preserve">; локал хүрээний үнэлгээ 92%.</w:t>
            </w:r>
          </w:p>
        </w:tc>
      </w:tr>
      <w:tr>
        <w:trPr>
          <w:cantSplit/>
        </w:trPr>
        <w:tc>
          <w:tcPr>
            <w:tcW w:w="34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Idempotency, ownership, invalid input</w:t>
            </w:r>
          </w:p>
        </w:tc>
        <w:tc>
          <w:tcPr>
            <w:tcW w:w="64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Нэг key-тай 100 retry → нэг шинэ order; TTL24h; өөр хэрэглэгчийн нөөц404; token401; 400/409/413/415/500 хариу.</w:t>
            </w:r>
          </w:p>
        </w:tc>
      </w:tr>
      <w:tr>
        <w:trPr>
          <w:cantSplit/>
        </w:trPr>
        <w:tc>
          <w:tcPr>
            <w:tcW w:w="3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Swagger UI ба Redoc</w:t>
            </w:r>
          </w:p>
        </w:tc>
        <w:tc>
          <w:tcPr>
            <w:tcW w:w="6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Хоёр static HTML, локал HTTP маршрутууд бэлэн; автомат тест HTML/YAML serving-ийг шалгана. Браузерын харагдах байдал болон нийтийн sandbox-ийг тусад нь нотолно.</w:t>
            </w:r>
          </w:p>
        </w:tc>
      </w:tr>
      <w:tr>
        <w:trPr>
          <w:cantSplit/>
        </w:trPr>
        <w:tc>
          <w:tcPr>
            <w:tcW w:w="3432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100 үгийн шийдвэр</w:t>
            </w:r>
          </w:p>
        </w:tc>
        <w:tc>
          <w:tcPr>
            <w:tcW w:w="6432" w:type="dxa"/>
            <w:vAlign w:val="top"/>
            <w:shd w:fill="F6F9FA" w:val="clear"/>
          </w:tcPr>
          <w:p>
            <w:pPr>
              <w:pStyle w:val="TableText"/>
            </w:pPr>
            <w:hyperlink r:id="rIdLink17">
              <w:r>
                <w:rPr>
                  <w:color w:val="176D91"/>
                  <w:u w:val="single"/>
                  <w:sz w:val="18"/>
                </w:rPr>
                <w:t xml:space="preserve">Шийдвэрийн эх</w:t>
              </w:r>
            </w:hyperlink>
            <w:r>
              <w:rPr>
                <w:sz w:val="18"/>
              </w:rPr>
              <w:t xml:space="preserve">, яг 100 whitespace word байх автомат тест.</w:t>
            </w:r>
          </w:p>
        </w:tc>
      </w:tr>
      <w:tr>
        <w:trPr>
          <w:cantSplit/>
        </w:trPr>
        <w:tc>
          <w:tcPr>
            <w:tcW w:w="3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CI bonus</w:t>
            </w:r>
          </w:p>
        </w:tc>
        <w:tc>
          <w:tcPr>
            <w:tcW w:w="6432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Бүх sample болон validator-ийг нэг unittest багцаар ажиллуулж болно; GitHub hosted run-ийн дүгнэлтийг бодит run URL-гүйгээр хийхгүй.</w:t>
            </w:r>
          </w:p>
        </w:tc>
      </w:tr>
    </w:tbl>
    <w:p>
      <w:pPr>
        <w:pStyle w:val="Gap"/>
      </w:pPr>
    </w:p>
    <w:p>
      <w:pPr>
        <w:pStyle w:val="Heading2"/>
      </w:pPr>
      <w:r>
        <w:rPr/>
        <w:t xml:space="preserve">8. Эргэцүүлэл ба дараагийн алхам</w:t>
      </w:r>
    </w:p>
    <w:p>
      <w:pPr>
        <w:pStyle w:val="Normal"/>
      </w:pPr>
      <w:r>
        <w:rPr/>
        <w:t xml:space="preserve"/>
      </w:r>
      <w:r>
        <w:rPr>
          <w:b/>
        </w:rPr>
        <w:t xml:space="preserve">Standup-д танилцуулах бодит төлөв.</w:t>
      </w:r>
      <w:r>
        <w:rPr/>
        <w:t xml:space="preserve"> Таван endpoint-ийн гэрээ, найман</w:t>
      </w:r>
      <w:r>
        <w:rPr/>
        <w:t xml:space="preserve"> </w:t>
      </w:r>
      <w:r>
        <w:rPr/>
        <w:t xml:space="preserve">ажилладаг жишээ болон нийтлэг алдааны schema бэлэн. Асуудалтай оролт,</w:t>
      </w:r>
      <w:r>
        <w:rPr/>
        <w:t xml:space="preserve"> </w:t>
      </w:r>
      <w:r>
        <w:rPr/>
        <w:t xml:space="preserve">өмчлөл, давтан хүсэлтийг локал тестээр шалгав. Нийтийн sandbox болон production</w:t>
      </w:r>
      <w:r>
        <w:rPr/>
        <w:t xml:space="preserve"> </w:t>
      </w:r>
      <w:r>
        <w:rPr/>
        <w:t xml:space="preserve">интеграцын нотолгоог локал mock-ийн үр дүнгээр орлуулаагүй.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Retrospective.</w:t>
      </w:r>
      <w:r>
        <w:rPr/>
        <w:t xml:space="preserve"> Bearer header-ийг тайлбарлахдаа transport хэлбэрийг JWT-ийн</w:t>
      </w:r>
      <w:r>
        <w:rPr/>
        <w:t xml:space="preserve"> </w:t>
      </w:r>
      <w:r>
        <w:rPr/>
        <w:t xml:space="preserve">бодит хэрэгжүүлэлттэй хольж болохгүйг тодруулав. </w:t>
      </w:r>
      <w:r>
        <w:rPr>
          <w:rFonts w:ascii="Consolas" w:hAnsi="Consolas" w:cs="Consolas"/>
          <w:shd w:fill="F0F5F3" w:val="clear"/>
        </w:rPr>
        <w:t xml:space="preserve">foo/bar</w:t>
      </w:r>
      <w:r>
        <w:rPr/>
        <w:t xml:space="preserve"> нэрийг зохиомол боловч</w:t>
      </w:r>
      <w:r>
        <w:rPr/>
        <w:t xml:space="preserve"> </w:t>
      </w:r>
      <w:r>
        <w:rPr/>
        <w:t xml:space="preserve">тодорхой домэйн fixture-ээр сольсон. Уншихад Redoc, хүсэлт туршихад Swagger UI</w:t>
      </w:r>
      <w:r>
        <w:rPr/>
        <w:t xml:space="preserve"> </w:t>
      </w:r>
      <w:r>
        <w:rPr/>
        <w:t xml:space="preserve">ашиглах шийдвэрийг хэрэглэгчийн хэмжилтээр дараа нь дахин үнэлнэ.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Судалсан ойлголтын хэрэглээ.</w:t>
      </w:r>
      <w:r>
        <w:rPr/>
        <w:t xml:space="preserve"> Handout-д Bhatti Ch. 5, p. 94-ийн Trustworthy</w:t>
      </w:r>
      <w:r>
        <w:rPr/>
        <w:t xml:space="preserve"> </w:t>
      </w:r>
      <w:r>
        <w:rPr/>
        <w:t xml:space="preserve">зарчмыг response-оо сервертэй шалгах гэж тайлбарласан. Энэ зарчмыг response</w:t>
      </w:r>
      <w:r>
        <w:rPr/>
        <w:t xml:space="preserve"> </w:t>
      </w:r>
      <w:r>
        <w:rPr/>
        <w:t xml:space="preserve">example ба HTTP хариуг автомат тулгалтад оруулснаар хэрэгжүүлэв. Handout-д</w:t>
      </w:r>
      <w:r>
        <w:rPr/>
        <w:t xml:space="preserve"> </w:t>
      </w:r>
      <w:r>
        <w:rPr/>
        <w:t xml:space="preserve">заасан Chinchilla Ch. 2, pp. 18–22 болон Ch. 6, p. 79-ийн хүрээнд дараагийн</w:t>
      </w:r>
      <w:r>
        <w:rPr/>
        <w:t xml:space="preserve"> </w:t>
      </w:r>
      <w:r>
        <w:rPr/>
        <w:t xml:space="preserve">ажилд нэг эхээс баримт үүсгэх, хэрэглэгчийн хэрэгцээгээр харагдацаа сонгох</w:t>
      </w:r>
      <w:r>
        <w:rPr/>
        <w:t xml:space="preserve"> </w:t>
      </w:r>
      <w:r>
        <w:rPr/>
        <w:t xml:space="preserve">зарчмыг үргэлжлүүлэн ашиглана. Номын бүтэн эх хавсаргагдаагүй тул энэ хэсэг</w:t>
      </w:r>
      <w:r>
        <w:rPr/>
        <w:t xml:space="preserve"> </w:t>
      </w:r>
      <w:r>
        <w:rPr/>
        <w:t xml:space="preserve">нь handout-ийн тайлбар, унших чиглүүлэгт тулгуурласан; шууд эшлэл биш.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Гол зөрүү.</w:t>
      </w:r>
      <w:r>
        <w:rPr/>
        <w:t xml:space="preserve"> Локал зөв ажиллах contract болон нийтэд хүртээмжтэй, бодит</w:t>
      </w:r>
      <w:r>
        <w:rPr/>
        <w:t xml:space="preserve"> </w:t>
      </w:r>
      <w:r>
        <w:rPr/>
        <w:t xml:space="preserve">үйлчилгээтэй найдвартай API хоёрын хооронд production authentication,</w:t>
      </w:r>
      <w:r>
        <w:rPr/>
        <w:t xml:space="preserve"> </w:t>
      </w:r>
      <w:r>
        <w:rPr/>
        <w:t xml:space="preserve">өгөгдлийн хадгалалт, transaction, payment integration, deployment-ийн ажил</w:t>
      </w:r>
      <w:r>
        <w:rPr/>
        <w:t xml:space="preserve"> </w:t>
      </w:r>
      <w:r>
        <w:rPr/>
        <w:t xml:space="preserve">үлдсэн. Дараагийн семинарт эдгээрийг тус тусад нь issue болгон төлөвлөж,</w:t>
      </w:r>
      <w:r>
        <w:rPr/>
        <w:t xml:space="preserve"> </w:t>
      </w:r>
      <w:r>
        <w:rPr/>
        <w:t xml:space="preserve">endpoint, SRS холбоос, example, regression test болон өөрчлөлтийн тэмдэглэлийг</w:t>
      </w:r>
      <w:r>
        <w:rPr/>
        <w:t xml:space="preserve"> </w:t>
      </w:r>
      <w:r>
        <w:rPr/>
        <w:t xml:space="preserve">хамт шинэчилнэ.</w:t>
      </w:r>
    </w:p>
    <w:p>
      <w:pPr>
        <w:pStyle w:val="Heading2"/>
      </w:pPr>
      <w:r>
        <w:rPr/>
        <w:t xml:space="preserve">Эх сурвалж</w:t>
      </w:r>
    </w:p>
    <w:p>
      <w:pPr>
        <w:pStyle w:val="Normal"/>
        <w:ind w:left="240" w:hanging="160"/>
      </w:pPr>
      <w:r>
        <w:rPr/>
        <w:t xml:space="preserve">• </w:t>
      </w:r>
      <w:r>
        <w:rPr/>
        <w:t xml:space="preserve">Хавсаргасан </w:t>
      </w:r>
      <w:r>
        <w:rPr>
          <w:i/>
        </w:rPr>
        <w:t xml:space="preserve">Sprint 05 Lab Instructions — OpenAPI 3.0 &amp; Bhatti Code Samples</w:t>
      </w:r>
      <w:r>
        <w:rPr/>
        <w:t xml:space="preserve">, US-5.1–US-5.4, UE-5, Definition of Done.</w:t>
      </w:r>
    </w:p>
    <w:p>
      <w:pPr>
        <w:pStyle w:val="Normal"/>
        <w:ind w:left="240" w:hanging="160"/>
      </w:pPr>
      <w:r>
        <w:rPr/>
        <w:t xml:space="preserve">• </w:t>
      </w:r>
      <w:r>
        <w:rPr/>
        <w:t xml:space="preserve">Хэрэглэгчийн </w:t>
      </w:r>
      <w:r>
        <w:rPr>
          <w:rFonts w:ascii="Consolas" w:hAnsi="Consolas" w:cs="Consolas"/>
          <w:shd w:fill="F0F5F3" w:val="clear"/>
        </w:rPr>
        <w:t xml:space="preserve">PHTBB5 (1).pdf</w:t>
      </w:r>
      <w:r>
        <w:rPr/>
        <w:t xml:space="preserve">, </w:t>
      </w:r>
      <w:r>
        <w:rPr>
          <w:rFonts w:ascii="Consolas" w:hAnsi="Consolas" w:cs="Consolas"/>
          <w:shd w:fill="F0F5F3" w:val="clear"/>
        </w:rPr>
        <w:t xml:space="preserve">PHTBB5.yaml</w:t>
      </w:r>
      <w:r>
        <w:rPr/>
        <w:t xml:space="preserve">; </w:t>
      </w:r>
      <w:r>
        <w:rPr>
          <w:rFonts w:ascii="Consolas" w:hAnsi="Consolas" w:cs="Consolas"/>
          <w:shd w:fill="F0F5F3" w:val="clear"/>
        </w:rPr>
        <w:t xml:space="preserve">Week_03_FoodFlow.docx</w:t>
      </w:r>
      <w:r>
        <w:rPr/>
        <w:t xml:space="preserve">-ийн шаардлагын суурь.</w:t>
      </w:r>
    </w:p>
    <w:p>
      <w:pPr>
        <w:pStyle w:val="Normal"/>
        <w:ind w:left="240" w:hanging="160"/>
      </w:pPr>
      <w:r>
        <w:rPr/>
        <w:t xml:space="preserve">• </w:t>
      </w:r>
      <w:hyperlink r:id="rIdLink18">
        <w:r>
          <w:rPr>
            <w:color w:val="176D91"/>
            <w:u w:val="single"/>
          </w:rPr>
          <w:t xml:space="preserve">OpenAPI 3.0.3 specification</w:t>
        </w:r>
      </w:hyperlink>
      <w:r>
        <w:rPr/>
        <w:t xml:space="preserve"> — API гэрээний формат.</w:t>
      </w:r>
    </w:p>
    <w:p>
      <w:pPr>
        <w:pStyle w:val="Normal"/>
        <w:ind w:left="240" w:hanging="160"/>
      </w:pPr>
      <w:r>
        <w:rPr/>
        <w:t xml:space="preserve">• </w:t>
      </w:r>
      <w:hyperlink r:id="rIdLink19">
        <w:r>
          <w:rPr>
            <w:color w:val="176D91"/>
            <w:u w:val="single"/>
          </w:rPr>
          <w:t xml:space="preserve">Swagger UI installation</w:t>
        </w:r>
      </w:hyperlink>
      <w:r>
        <w:rPr/>
        <w:t xml:space="preserve">, </w:t>
      </w:r>
      <w:hyperlink r:id="rIdLink20">
        <w:r>
          <w:rPr>
            <w:color w:val="176D91"/>
            <w:u w:val="single"/>
          </w:rPr>
          <w:t xml:space="preserve">configuration</w:t>
        </w:r>
      </w:hyperlink>
      <w:r>
        <w:rPr/>
        <w:t xml:space="preserve"> — HTML embed ба тохиргоо.</w:t>
      </w:r>
    </w:p>
    <w:p>
      <w:pPr>
        <w:pStyle w:val="Normal"/>
        <w:ind w:left="240" w:hanging="160"/>
      </w:pPr>
      <w:r>
        <w:rPr/>
        <w:t xml:space="preserve">• </w:t>
      </w:r>
      <w:hyperlink r:id="rIdLink21">
        <w:r>
          <w:rPr>
            <w:color w:val="176D91"/>
            <w:u w:val="single"/>
          </w:rPr>
          <w:t xml:space="preserve">Redoc HTML deployment</w:t>
        </w:r>
      </w:hyperlink>
      <w:r>
        <w:rPr/>
        <w:t xml:space="preserve">, </w:t>
      </w:r>
      <w:hyperlink r:id="rIdLink22">
        <w:r>
          <w:rPr>
            <w:color w:val="176D91"/>
            <w:u w:val="single"/>
          </w:rPr>
          <w:t xml:space="preserve">Redocly lint</w:t>
        </w:r>
      </w:hyperlink>
      <w:r>
        <w:rPr/>
        <w:t xml:space="preserve"> — унших харагдац ба стандарт шалгалт.</w:t>
      </w:r>
    </w:p>
    <w:sectPr>
      <w:footerReference w:type="default" r:id="rIdFooter"/>
      <w:headerReference w:type="default" r:id="rIdHeader"/>
      <w:type w:val="nextPage"/>
      <w:pgSz w:w="11906" w:h="16838" w:orient="portrait"/>
      <w:pgMar w:top="1021" w:right="1021" w:bottom="1021" w:left="1021" w:header="400" w:footer="4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/>
      <w:t xml:space="preserve">FoodFlow · 2026-10-13 · 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Footer"/>
    </w:pPr>
    <w:r>
      <w:rPr/>
      <w:t xml:space="preserve">FOODFLOW / SOFTWARE PROJECT DOCUMENTATION</w:t>
    </w:r>
  </w:p>
</w:hdr>
</file>

<file path=word/settings.xml><?xml version="1.0" encoding="utf-8"?>
<w:settings xmlns:w="http://schemas.openxmlformats.org/wordprocessingml/2006/main">
  <w:updateFields w:val="true"/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lang w:val="mn-MN"/>
        <w:sz w:val="21"/>
        <w:color w:val="18334A"/>
      </w:rPr>
    </w:rPrDefault>
  </w:docDefaults>
  <w:style w:type="paragraph" w:styleId="Normal" w:default="1">
    <w:name w:val="Normal"/>
    <w:pPr>
      <w:spacing w:before="0" w:after="85" w:line="280" w:lineRule="auto"/>
      <w:widowControl/>
    </w:pPr>
    <w:rPr>
      <w:sz w:val="21"/>
    </w:rPr>
  </w:style>
  <w:style w:type="paragraph" w:styleId="Title">
    <w:name w:val="Title"/>
    <w:basedOn w:val="Normal"/>
    <w:pPr>
      <w:spacing w:before="0" w:after="160" w:line="780" w:lineRule="auto"/>
      <w:widowControl/>
    </w:pPr>
    <w:rPr>
      <w:sz w:val="68"/>
      <w:b/>
    </w:rPr>
  </w:style>
  <w:style w:type="paragraph" w:styleId="Subtitle">
    <w:name w:val="Subtitle"/>
    <w:basedOn w:val="Normal"/>
    <w:pPr>
      <w:spacing w:before="0" w:after="180" w:line="500" w:lineRule="auto"/>
      <w:widowControl/>
    </w:pPr>
    <w:rPr>
      <w:sz w:val="40"/>
    </w:rPr>
  </w:style>
  <w:style w:type="paragraph" w:styleId="TableText">
    <w:name w:val="TableText"/>
    <w:basedOn w:val="Normal"/>
    <w:pPr>
      <w:spacing w:before="0" w:after="0" w:line="230" w:lineRule="auto"/>
      <w:widowControl/>
    </w:pPr>
    <w:rPr>
      <w:sz w:val="18"/>
    </w:rPr>
  </w:style>
  <w:style w:type="paragraph" w:styleId="Caption">
    <w:name w:val="Caption"/>
    <w:basedOn w:val="Normal"/>
    <w:pPr>
      <w:spacing w:before="0" w:after="90" w:line="210" w:lineRule="auto"/>
      <w:widowControl/>
    </w:pPr>
    <w:rPr>
      <w:sz w:val="16"/>
    </w:rPr>
  </w:style>
  <w:style w:type="paragraph" w:styleId="Code">
    <w:name w:val="Code"/>
    <w:basedOn w:val="Normal"/>
    <w:pPr>
      <w:spacing w:before="0" w:after="120" w:line="210" w:lineRule="auto"/>
      <w:widowControl/>
      <w:shd w:fill="F4F7F8" w:val="clear"/>
      <w:ind w:left="140" w:right="140"/>
    </w:pPr>
    <w:rPr>
      <w:sz w:val="16"/>
      <w:rFonts w:ascii="Consolas" w:hAnsi="Consolas" w:cs="Consolas"/>
    </w:rPr>
  </w:style>
  <w:style w:type="paragraph" w:styleId="Quote">
    <w:name w:val="Quote"/>
    <w:basedOn w:val="Normal"/>
    <w:pPr>
      <w:spacing w:before="0" w:after="120" w:line="260" w:lineRule="auto"/>
      <w:widowControl/>
      <w:shd w:fill="F4F7F8" w:val="clear"/>
      <w:ind w:left="140" w:right="140"/>
    </w:pPr>
    <w:rPr>
      <w:sz w:val="20"/>
    </w:rPr>
  </w:style>
  <w:style w:type="paragraph" w:styleId="Gap">
    <w:name w:val="Gap"/>
    <w:basedOn w:val="Normal"/>
    <w:pPr>
      <w:spacing w:before="0" w:after="70" w:line="40" w:lineRule="auto"/>
      <w:widowControl/>
    </w:pPr>
    <w:rPr>
      <w:sz w:val="4"/>
    </w:rPr>
  </w:style>
  <w:style w:type="paragraph" w:styleId="Footer">
    <w:name w:val="Footer"/>
    <w:basedOn w:val="Normal"/>
    <w:pPr>
      <w:spacing w:before="0" w:after="0" w:line="180" w:lineRule="auto"/>
      <w:widowControl/>
    </w:pPr>
    <w:rPr>
      <w:sz w:val="16"/>
    </w:rPr>
  </w:style>
  <w:style w:type="paragraph" w:styleId="Heading1">
    <w:name w:val="Heading1"/>
    <w:basedOn w:val="Normal"/>
    <w:pPr>
      <w:spacing w:before="0" w:after="115" w:line="494" w:lineRule="auto"/>
      <w:widowControl/>
      <w:keepNext/>
      <w:outlineLvl w:val="0"/>
    </w:pPr>
    <w:rPr>
      <w:sz w:val="38"/>
      <w:b/>
    </w:rPr>
  </w:style>
  <w:style w:type="paragraph" w:styleId="Heading2">
    <w:name w:val="Heading2"/>
    <w:basedOn w:val="Normal"/>
    <w:pPr>
      <w:spacing w:before="140" w:after="115" w:line="351" w:lineRule="auto"/>
      <w:widowControl/>
      <w:keepNext/>
      <w:outlineLvl w:val="1"/>
    </w:pPr>
    <w:rPr>
      <w:sz w:val="27"/>
      <w:b/>
    </w:rPr>
  </w:style>
  <w:style w:type="paragraph" w:styleId="Heading3">
    <w:name w:val="Heading3"/>
    <w:basedOn w:val="Normal"/>
    <w:pPr>
      <w:spacing w:before="140" w:after="115" w:line="299" w:lineRule="auto"/>
      <w:widowControl/>
      <w:keepNext/>
      <w:outlineLvl w:val="2"/>
    </w:pPr>
    <w:rPr>
      <w:sz w:val="23"/>
      <w:b/>
    </w:rPr>
  </w:style>
  <w:style w:type="paragraph" w:styleId="Heading4">
    <w:name w:val="Heading4"/>
    <w:basedOn w:val="Normal"/>
    <w:pPr>
      <w:spacing w:before="140" w:after="115" w:line="273" w:lineRule="auto"/>
      <w:widowControl/>
      <w:keepNext/>
      <w:outlineLvl w:val="3"/>
    </w:pPr>
    <w:rPr>
      <w:sz w:val="21"/>
      <w:b/>
    </w:rPr>
  </w:style>
  <w:style w:type="paragraph" w:styleId="Heading5">
    <w:name w:val="Heading5"/>
    <w:basedOn w:val="Normal"/>
    <w:pPr>
      <w:spacing w:before="140" w:after="115" w:line="273" w:lineRule="auto"/>
      <w:widowControl/>
      <w:keepNext/>
      <w:outlineLvl w:val="4"/>
    </w:pPr>
    <w:rPr>
      <w:sz w:val="21"/>
      <w:b/>
    </w:rPr>
  </w:style>
  <w:style w:type="paragraph" w:styleId="Heading6">
    <w:name w:val="Heading6"/>
    <w:basedOn w:val="Normal"/>
    <w:pPr>
      <w:spacing w:before="140" w:after="115" w:line="273" w:lineRule="auto"/>
      <w:widowControl/>
      <w:keepNext/>
      <w:outlineLvl w:val="5"/>
    </w:pPr>
    <w:rPr>
      <w:sz w:val="21"/>
      <w:b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oter" Type="http://schemas.openxmlformats.org/officeDocument/2006/relationships/footer" Target="footer1.xml" /><Relationship Id="rIdHeader" Type="http://schemas.openxmlformats.org/officeDocument/2006/relationships/header" Target="header1.xml" /><Relationship Id="rIdLink1" Type="http://schemas.openxmlformats.org/officeDocument/2006/relationships/hyperlink" Target="https://github.com/Tuguldur0222/foodflow-documentation/blob/main/docs/api/openapi.yaml" TargetMode="External" /><Relationship Id="rIdLink2" Type="http://schemas.openxmlformats.org/officeDocument/2006/relationships/hyperlink" Target="https://github.com/Tuguldur0222/foodflow-documentation/blob/main/examples/foodflow_requests.py" TargetMode="External" /><Relationship Id="rIdLink3" Type="http://schemas.openxmlformats.org/officeDocument/2006/relationships/hyperlink" Target="https://github.com/Tuguldur0222/foodflow-documentation/blob/main/examples/foodflow_requests.sh" TargetMode="External" /><Relationship Id="rIdLink4" Type="http://schemas.openxmlformats.org/officeDocument/2006/relationships/hyperlink" Target="https://github.com/Tuguldur0222/foodflow-documentation/blob/main/examples/corgly_upload_photo.py" TargetMode="External" /><Relationship Id="rIdLink5" Type="http://schemas.openxmlformats.org/officeDocument/2006/relationships/hyperlink" Target="https://github.com/Tuguldur0222/foodflow-documentation/blob/main/examples/corgly_translate_bark.py" TargetMode="External" /><Relationship Id="rIdLink6" Type="http://schemas.openxmlformats.org/officeDocument/2006/relationships/hyperlink" Target="https://github.com/Tuguldur0222/foodflow-documentation/blob/main/examples/corgly_subscribe_webhook.py" TargetMode="External" /><Relationship Id="rIdLink7" Type="http://schemas.openxmlformats.org/officeDocument/2006/relationships/hyperlink" Target="https://github.com/Tuguldur0222/foodflow-documentation/blob/main/examples/data/README.md" TargetMode="External" /><Relationship Id="rIdLink8" Type="http://schemas.openxmlformats.org/officeDocument/2006/relationships/hyperlink" Target="https://github.com/Tuguldur0222/foodflow-documentation/blob/main/docs/api/sample-audit.md" TargetMode="External" /><Relationship Id="rIdLink9" Type="http://schemas.openxmlformats.org/officeDocument/2006/relationships/hyperlink" Target="http://127.0.0.1:8765/api/swagger.html" TargetMode="External" /><Relationship Id="rIdLink10" Type="http://schemas.openxmlformats.org/officeDocument/2006/relationships/hyperlink" Target="http://127.0.0.1:8765/api/redoc.html" TargetMode="External" /><Relationship Id="rIdLink11" Type="http://schemas.openxmlformats.org/officeDocument/2006/relationships/hyperlink" Target="https://github.com/Tuguldur0222/foodflow-documentation/blob/main/docs/api/renderer-decision.md" TargetMode="External" /><Relationship Id="rIdLink12" Type="http://schemas.openxmlformats.org/officeDocument/2006/relationships/hyperlink" Target="https://github.com/Tuguldur0222/foodflow-documentation/blob/main/docs/api/openapi.yaml" TargetMode="External" /><Relationship Id="rIdLink13" Type="http://schemas.openxmlformats.org/officeDocument/2006/relationships/hyperlink" Target="https://github.com/Tuguldur0222/foodflow-documentation/blob/main/tests/test_openapi.py" TargetMode="External" /><Relationship Id="rIdLink14" Type="http://schemas.openxmlformats.org/officeDocument/2006/relationships/hyperlink" Target="https://github.com/Tuguldur0222/foodflow-documentation/blob/main/review/redocly_log.txt" TargetMode="External" /><Relationship Id="rIdLink15" Type="http://schemas.openxmlformats.org/officeDocument/2006/relationships/hyperlink" Target="https://github.com/Tuguldur0222/foodflow-documentation/blob/main/docs/api/sample-audit.md" TargetMode="External" /><Relationship Id="rIdLink16" Type="http://schemas.openxmlformats.org/officeDocument/2006/relationships/hyperlink" Target="https://github.com/Tuguldur0222/foodflow-documentation/blob/main/tests/test_mock_api.py" TargetMode="External" /><Relationship Id="rIdLink17" Type="http://schemas.openxmlformats.org/officeDocument/2006/relationships/hyperlink" Target="https://github.com/Tuguldur0222/foodflow-documentation/blob/main/docs/api/renderer-decision.md" TargetMode="External" /><Relationship Id="rIdLink18" Type="http://schemas.openxmlformats.org/officeDocument/2006/relationships/hyperlink" Target="https://spec.openapis.org/oas/v3.0.3" TargetMode="External" /><Relationship Id="rIdLink19" Type="http://schemas.openxmlformats.org/officeDocument/2006/relationships/hyperlink" Target="https://swagger.io/docs/open-source-tools/swagger-ui/usage/installation/" TargetMode="External" /><Relationship Id="rIdLink20" Type="http://schemas.openxmlformats.org/officeDocument/2006/relationships/hyperlink" Target="https://swagger.io/docs/open-source-tools/swagger-ui/usage/configuration/" TargetMode="External" /><Relationship Id="rIdLink21" Type="http://schemas.openxmlformats.org/officeDocument/2006/relationships/hyperlink" Target="https://github.com/Redocly/redoc/blob/main/docs/deployment/html.md" TargetMode="External" /><Relationship Id="rIdLink22" Type="http://schemas.openxmlformats.org/officeDocument/2006/relationships/hyperlink" Target="https://redocly.com/docs/cli/commands/lint" TargetMode="External" /></Relationships>
</file>

<file path=docProps/core.xml><?xml version="1.0" encoding="utf-8"?>
<cp:coreProperties xmlns:cp="http://schemas.openxmlformats.org/package/2006/metadata/core-properties" xmlns:dc="http://purl.org/dc/elements/1.1/">
  <dc:title>Семинар 05 · OpenAPI 3.0 ба кодын жишээ</dc:title>
  <dc:creator>Ю. Төгөлдөр · 23B1NUM2350</dc:creator>
  <dc:description>Editable export from canonical FoodFlow Markdown. 2026-10-13</dc:description>
</cp:coreProperties>
</file>