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'1.0' encoding='utf-8'?>
<Relationships xmlns="http://schemas.openxmlformats.org/package/2006/relationships"><Relationship Id="rIdDocument" Type="http://schemas.openxmlformats.org/officeDocument/2006/relationships/officeDocument" Target="word/document.xml" /><Relationship Id="rIdCore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rPr/>
        <w:t xml:space="preserve">W06 — Кодын баримтжуулалт ба AI аудит</w:t>
      </w:r>
    </w:p>
    <w:p>
      <w:pPr>
        <w:pStyle w:val="Normal"/>
      </w:pPr>
      <w:r>
        <w:rPr/>
        <w:t xml:space="preserve"/>
      </w:r>
      <w:r>
        <w:rPr>
          <w:b/>
        </w:rPr>
        <w:t xml:space="preserve">Төсөл:</w:t>
      </w:r>
      <w:r>
        <w:rPr/>
        <w:t xml:space="preserve"> FoodFlow · </w:t>
      </w:r>
      <w:r>
        <w:rPr>
          <w:b/>
        </w:rPr>
        <w:t xml:space="preserve">Оюутан:</w:t>
      </w:r>
      <w:r>
        <w:rPr/>
        <w:t xml:space="preserve"> Ю. Төгөлдөр, 23B1NUM2350 · </w:t>
      </w:r>
      <w:r>
        <w:rPr>
          <w:b/>
        </w:rPr>
        <w:t xml:space="preserve">Шинэчилсэн:</w:t>
      </w:r>
      <w:r>
        <w:rPr/>
        <w:t xml:space="preserve"> 2026-10-13</w:t>
      </w:r>
    </w:p>
    <w:p>
      <w:pPr>
        <w:pStyle w:val="Heading2"/>
      </w:pPr>
      <w:r>
        <w:rPr/>
        <w:t xml:space="preserve">Зорилго ба хамрах хүрээ</w:t>
      </w:r>
    </w:p>
    <w:p>
      <w:pPr>
        <w:pStyle w:val="Normal"/>
      </w:pPr>
      <w:r>
        <w:rPr/>
        <w:t xml:space="preserve">Энэхүү семинарын ажлын зорилго нь FoodFlow-ийн public API-г Google-style docstring ашиглан баримтжуулах, Sphinx-ээр алдаа, анхааруулгагүй HTML баримтжуулалт үүсгэх, AI-ийн боловсруулсан тайлбарыг кодын бодит ажиллагаатай тулган үнэлэх, техникийн өрийг бүртгэхэд оршино. Баримтжуулалт нь API ашиглах хөгжүүлэгчдэд зориулагдсан бөгөөд захиалга үүсгэх, өөрийн захиалгын мэдээллийг авах, </w:t>
      </w:r>
      <w:r>
        <w:rPr>
          <w:rFonts w:ascii="Consolas" w:hAnsi="Consolas" w:cs="Consolas"/>
          <w:shd w:fill="F0F5F3" w:val="clear"/>
        </w:rPr>
        <w:t xml:space="preserve">Pending</w:t>
      </w:r>
      <w:r>
        <w:rPr/>
        <w:t xml:space="preserve"> төлөвтэй захиалгыг цуцлах үйлдэл бүхий Python модулийг хамарна.</w:t>
      </w:r>
    </w:p>
    <w:p>
      <w:pPr>
        <w:pStyle w:val="Normal"/>
      </w:pPr>
      <w:r>
        <w:rPr/>
        <w:t xml:space="preserve">Кодыг анх PDF-ийн тайлбараас сургалтын зориулалтаар сэргээн байгуулсан. Одоо хэрэглэгчийн нэмсэн Word баримттай уялдуулсан. Энэ модуль нь W05 HTTP mock-оос тусдаа; database, JWT, бодит QPay төлбөр, key TTL, concurrency баталгаа агуулахгүй.</w:t>
      </w:r>
    </w:p>
    <w:p>
      <w:pPr>
        <w:pStyle w:val="Heading2"/>
      </w:pPr>
      <w:r>
        <w:rPr/>
        <w:t xml:space="preserve">US-6.1 — Public API ба docstring</w:t>
      </w:r>
    </w:p>
    <w:p>
      <w:pPr>
        <w:pStyle w:val="Normal"/>
      </w:pPr>
      <w:hyperlink r:id="rIdLink1">
        <w:r>
          <w:rPr>
            <w:rFonts w:ascii="Consolas" w:hAnsi="Consolas" w:cs="Consolas"/>
            <w:shd w:fill="F0F5F3" w:val="clear"/>
            <w:color w:val="176D91"/>
            <w:u w:val="single"/>
          </w:rPr>
          <w:t xml:space="preserve">order_service.py</w:t>
        </w:r>
      </w:hyperlink>
      <w:r>
        <w:rPr/>
        <w:t xml:space="preserve">-д module, class, constructor, гурван public method буюу 6 хэсгийг тайлбарласан. </w:t>
      </w:r>
      <w:r>
        <w:rPr>
          <w:rFonts w:ascii="Consolas" w:hAnsi="Consolas" w:cs="Consolas"/>
          <w:shd w:fill="F0F5F3" w:val="clear"/>
        </w:rPr>
        <w:t xml:space="preserve">foodflow.__all__</w:t>
      </w:r>
      <w:r>
        <w:rPr/>
        <w:t xml:space="preserve"> зөвхөн </w:t>
      </w:r>
      <w:r>
        <w:rPr>
          <w:rFonts w:ascii="Consolas" w:hAnsi="Consolas" w:cs="Consolas"/>
          <w:shd w:fill="F0F5F3" w:val="clear"/>
        </w:rPr>
        <w:t xml:space="preserve">OrderService</w:t>
      </w:r>
      <w:r>
        <w:rPr/>
        <w:t xml:space="preserve">-ийг export хийнэ. Public callable constructor-тайгаа 4. Private state/helper-ийг хассан шалтгаан comment-той.</w:t>
      </w:r>
    </w:p>
    <w:tbl>
      <w:tblPr>
        <w:tblW w:w="9864" w:type="dxa"/>
        <w:tblLayout w:type="fixed"/>
        <w:tblBorders>
          <w:top w:val="single" w:sz="4" w:color="CDD9DE"/>
          <w:left w:val="single" w:sz="4" w:color="CDD9DE"/>
          <w:bottom w:val="single" w:sz="4" w:color="CDD9DE"/>
          <w:right w:val="single" w:sz="4" w:color="CDD9DE"/>
          <w:insideH w:val="single" w:sz="4" w:color="CDD9DE"/>
          <w:insideV w:val="single" w:sz="4" w:color="CDD9DE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601"/>
        <w:gridCol w:w="3865"/>
        <w:gridCol w:w="3398"/>
      </w:tblGrid>
      <w:tr>
        <w:trPr>
          <w:cantSplit/>
          <w:tblHeader/>
        </w:trPr>
        <w:tc>
          <w:tcPr>
            <w:tcW w:w="2601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Callable</w:t>
            </w:r>
          </w:p>
        </w:tc>
        <w:tc>
          <w:tcPr>
            <w:tcW w:w="3865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Гэрээ</w:t>
            </w:r>
          </w:p>
        </w:tc>
        <w:tc>
          <w:tcPr>
            <w:tcW w:w="3398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Алдаа</w:t>
            </w:r>
          </w:p>
        </w:tc>
      </w:tr>
      <w:tr>
        <w:trPr>
          <w:cantSplit/>
        </w:trPr>
        <w:tc>
          <w:tcPr>
            <w:tcW w:w="2601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8"/>
              </w:rPr>
              <w:t xml:space="preserve">OrderService()</w:t>
            </w:r>
          </w:p>
        </w:tc>
        <w:tc>
          <w:tcPr>
            <w:tcW w:w="3865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Шинэ хоосон instance; эхний ID FF-1024</w:t>
            </w:r>
          </w:p>
        </w:tc>
        <w:tc>
          <w:tcPr>
            <w:tcW w:w="3398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Application-level exception байхгүй</w:t>
            </w:r>
          </w:p>
        </w:tc>
      </w:tr>
      <w:tr>
        <w:trPr>
          <w:cantSplit/>
        </w:trPr>
        <w:tc>
          <w:tcPr>
            <w:tcW w:w="2601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8"/>
              </w:rPr>
              <w:t xml:space="preserve">place_order(...)</w:t>
            </w:r>
          </w:p>
        </w:tc>
        <w:tc>
          <w:tcPr>
            <w:tcW w:w="3865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Pending; ижил owner/key + payload → одоогийн snapshot</w:t>
            </w:r>
          </w:p>
        </w:tc>
        <w:tc>
          <w:tcPr>
            <w:tcW w:w="3398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ValueError: input/key conflict</w:t>
            </w:r>
          </w:p>
        </w:tc>
      </w:tr>
      <w:tr>
        <w:trPr>
          <w:cantSplit/>
        </w:trPr>
        <w:tc>
          <w:tcPr>
            <w:tcW w:w="2601" w:type="dxa"/>
            <w:vAlign w:val="top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8"/>
              </w:rPr>
              <w:t xml:space="preserve">get_order(id, owner)</w:t>
            </w:r>
          </w:p>
        </w:tc>
        <w:tc>
          <w:tcPr>
            <w:tcW w:w="3865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Өөрийн order-ийн independent copy</w:t>
            </w:r>
          </w:p>
        </w:tc>
        <w:tc>
          <w:tcPr>
            <w:tcW w:w="3398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ValueError, KeyError, PermissionError</w:t>
            </w:r>
          </w:p>
        </w:tc>
      </w:tr>
      <w:tr>
        <w:trPr>
          <w:cantSplit/>
        </w:trPr>
        <w:tc>
          <w:tcPr>
            <w:tcW w:w="2601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rFonts w:ascii="Consolas" w:hAnsi="Consolas" w:cs="Consolas"/>
                <w:shd w:fill="F0F5F3" w:val="clear"/>
                <w:sz w:val="18"/>
              </w:rPr>
              <w:t xml:space="preserve">cancel_order(id, owner)</w:t>
            </w:r>
          </w:p>
        </w:tc>
        <w:tc>
          <w:tcPr>
            <w:tcW w:w="3865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Pending → Cancelled; refund үгүй</w:t>
            </w:r>
          </w:p>
        </w:tc>
        <w:tc>
          <w:tcPr>
            <w:tcW w:w="3398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Lookup errors; Pending биш үед ValueError</w:t>
            </w:r>
          </w:p>
        </w:tc>
      </w:tr>
    </w:tbl>
    <w:p>
      <w:pPr>
        <w:pStyle w:val="Gap"/>
      </w:pPr>
    </w:p>
    <w:p>
      <w:pPr>
        <w:pStyle w:val="Normal"/>
      </w:pPr>
      <w:r>
        <w:rPr/>
        <w:t xml:space="preserve">Жишээ бүр import болон шинэ instance-оос эхэлнэ. Домэйн утга customer_101, cart_101, FF-1024, QPay; integer MNT үнэ хэрэглэнэ.</w:t>
      </w:r>
    </w:p>
    <w:p>
      <w:pPr>
        <w:pStyle w:val="Caption"/>
      </w:pPr>
      <w:r>
        <w:rPr/>
        <w:t xml:space="preserve">PYTHON</w:t>
      </w:r>
    </w:p>
    <w:p>
      <w:pPr>
        <w:pStyle w:val="Code"/>
      </w:pPr>
      <w:r>
        <w:rPr>
          <w:rFonts w:ascii="Consolas" w:hAnsi="Consolas" w:cs="Consolas"/>
          <w:shd w:fill="F0F5F3" w:val="clear"/>
        </w:rPr>
        <w:t xml:space="preserve">from foodflow import OrderService</w:t>
        <w:br/>
        <w:t xml:space="preserve"/>
        <w:br/>
        <w:t xml:space="preserve">service = OrderService()</w:t>
        <w:br/>
        <w:t xml:space="preserve">order = service.place_order(</w:t>
        <w:br/>
        <w:t xml:space="preserve">    'customer_101', 'cart_101', 18000, 3000,</w:t>
        <w:br/>
        <w:t xml:space="preserve">    'QPay', 'ff-order-1024',</w:t>
        <w:br/>
        <w:t xml:space="preserve">)</w:t>
        <w:br/>
        <w:t xml:space="preserve">assert order['total_mnt'] == 21000</w:t>
        <w:br/>
        <w:t xml:space="preserve">assert service.cancel_order(order['order_id'], 'customer_101')['status'] == 'Cancelled'</w:t>
      </w:r>
    </w:p>
    <w:p>
      <w:pPr>
        <w:pStyle w:val="Normal"/>
      </w:pPr>
      <w:r>
        <w:rPr/>
        <w:t xml:space="preserve">Нэг хоол: 18,000 + 3,000 = 21,000₮. W05 хоёр хоол: 36,000 + 3,000 = 39,000₮. W06 subtotal-ийг оролтоор авдаг тул сагсны серверийн үнийн тооцоог шалгасан гэж үзэхгүй.</w:t>
      </w:r>
    </w:p>
    <w:p>
      <w:pPr>
        <w:pStyle w:val="Normal"/>
      </w:pPr>
      <w:r>
        <w:rPr/>
        <w:t xml:space="preserve">Chinchilla чанарын практик checklist: уншигчид чиглэх; оролт/гаралт/алдааг бүрэн тайлбарлах; ижил domain schema; runnable example; API навигац; кодтой хамт шинэчлэгдэх build. Бүтэн ном ирээгүй тул үүнийг номын зургаан зарчмын үгчилсэн нэр гэж эшлээгүй.</w:t>
      </w:r>
    </w:p>
    <w:p>
      <w:pPr>
        <w:pStyle w:val="Heading2"/>
      </w:pPr>
      <w:r>
        <w:rPr/>
        <w:t xml:space="preserve">Одоогийн SRS-тэй холбоо</w:t>
      </w:r>
    </w:p>
    <w:tbl>
      <w:tblPr>
        <w:tblW w:w="9864" w:type="dxa"/>
        <w:tblLayout w:type="fixed"/>
        <w:tblBorders>
          <w:top w:val="single" w:sz="4" w:color="CDD9DE"/>
          <w:left w:val="single" w:sz="4" w:color="CDD9DE"/>
          <w:bottom w:val="single" w:sz="4" w:color="CDD9DE"/>
          <w:right w:val="single" w:sz="4" w:color="CDD9DE"/>
          <w:insideH w:val="single" w:sz="4" w:color="CDD9DE"/>
          <w:insideV w:val="single" w:sz="4" w:color="CDD9DE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3127"/>
        <w:gridCol w:w="3127"/>
        <w:gridCol w:w="3610"/>
      </w:tblGrid>
      <w:tr>
        <w:trPr>
          <w:cantSplit/>
          <w:tblHeader/>
        </w:trPr>
        <w:tc>
          <w:tcPr>
            <w:tcW w:w="3127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Шаардлага</w:t>
            </w:r>
          </w:p>
        </w:tc>
        <w:tc>
          <w:tcPr>
            <w:tcW w:w="3127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W06-д хамрах хэсэг</w:t>
            </w:r>
          </w:p>
        </w:tc>
        <w:tc>
          <w:tcPr>
            <w:tcW w:w="3610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Хязгаар</w:t>
            </w:r>
          </w:p>
        </w:tc>
      </w:tr>
      <w:tr>
        <w:trPr>
          <w:cantSplit/>
        </w:trPr>
        <w:tc>
          <w:tcPr>
            <w:tcW w:w="3127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FR-11, NFR-02</w:t>
            </w:r>
          </w:p>
        </w:tc>
        <w:tc>
          <w:tcPr>
            <w:tcW w:w="3127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Order үүсгэх, single-instance retry</w:t>
            </w:r>
          </w:p>
        </w:tc>
        <w:tc>
          <w:tcPr>
            <w:tcW w:w="3610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Database/24hTTL/concurrency үгүй</w:t>
            </w:r>
          </w:p>
        </w:tc>
      </w:tr>
      <w:tr>
        <w:trPr>
          <w:cantSplit/>
        </w:trPr>
        <w:tc>
          <w:tcPr>
            <w:tcW w:w="3127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FR-10</w:t>
            </w:r>
          </w:p>
        </w:tc>
        <w:tc>
          <w:tcPr>
            <w:tcW w:w="3127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QPay аргыг хадгалах</w:t>
            </w:r>
          </w:p>
        </w:tc>
        <w:tc>
          <w:tcPr>
            <w:tcW w:w="3610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Provider холболтгүй</w:t>
            </w:r>
          </w:p>
        </w:tc>
      </w:tr>
      <w:tr>
        <w:trPr>
          <w:cantSplit/>
        </w:trPr>
        <w:tc>
          <w:tcPr>
            <w:tcW w:w="3127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FR-12, NFR-03</w:t>
            </w:r>
          </w:p>
        </w:tc>
        <w:tc>
          <w:tcPr>
            <w:tcW w:w="3127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Trusted owner-ийн order</w:t>
            </w:r>
          </w:p>
        </w:tc>
        <w:tc>
          <w:tcPr>
            <w:tcW w:w="3610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JWT/role authentication тест биш</w:t>
            </w:r>
          </w:p>
        </w:tc>
      </w:tr>
      <w:tr>
        <w:trPr>
          <w:cantSplit/>
        </w:trPr>
        <w:tc>
          <w:tcPr>
            <w:tcW w:w="3127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FR-13</w:t>
            </w:r>
          </w:p>
        </w:tc>
        <w:tc>
          <w:tcPr>
            <w:tcW w:w="3127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Pending цуцлах</w:t>
            </w:r>
          </w:p>
        </w:tc>
        <w:tc>
          <w:tcPr>
            <w:tcW w:w="3610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SRS-ийн Confirmed цуцлалтыг хэрэгжүүлээгүй</w:t>
            </w:r>
          </w:p>
        </w:tc>
      </w:tr>
      <w:tr>
        <w:trPr>
          <w:cantSplit/>
        </w:trPr>
        <w:tc>
          <w:tcPr>
            <w:tcW w:w="3127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FR-15</w:t>
            </w:r>
          </w:p>
        </w:tc>
        <w:tc>
          <w:tcPr>
            <w:tcW w:w="3127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Order ID, нийт дүн</w:t>
            </w:r>
          </w:p>
        </w:tc>
        <w:tc>
          <w:tcPr>
            <w:tcW w:w="3610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UI success message/ETA үгүй</w:t>
            </w:r>
          </w:p>
        </w:tc>
      </w:tr>
    </w:tbl>
    <w:p>
      <w:pPr>
        <w:pStyle w:val="Gap"/>
      </w:pPr>
    </w:p>
    <w:p>
      <w:pPr>
        <w:pStyle w:val="Normal"/>
      </w:pPr>
      <w:r>
        <w:rPr/>
        <w:t xml:space="preserve">W03-ийн одоогийн Word эх FR-11=order, FR-10=payment, FR-13=Pending/Confirmed гэж заасан. Хуучин PDF-ийг дагасан 2026-10-12 тайлангийн холбоосыг шинэчилж, түүхийг </w:t>
      </w:r>
      <w:hyperlink r:id="rIdLink2">
        <w:r>
          <w:rPr>
            <w:color w:val="176D91"/>
            <w:u w:val="single"/>
          </w:rPr>
          <w:t xml:space="preserve">CHANGELOG</w:t>
        </w:r>
      </w:hyperlink>
      <w:r>
        <w:rPr/>
        <w:t xml:space="preserve">-д хадгалав.</w:t>
      </w:r>
    </w:p>
    <w:p>
      <w:pPr>
        <w:pStyle w:val="Heading2"/>
      </w:pPr>
      <w:r>
        <w:rPr/>
        <w:t xml:space="preserve">US-6.2 — Sphinx ба CI/CD</w:t>
      </w:r>
    </w:p>
    <w:p>
      <w:pPr>
        <w:pStyle w:val="Normal"/>
      </w:pPr>
      <w:r>
        <w:rPr/>
        <w:t xml:space="preserve">Autodoc Python docstring-ийг, Napoleon Google-style бүтцийг, MyST бусад семинарын Markdown-ийг нэг баримтжуулалтад оруулна. Mermaid диаграм GitHub/HTML дээр харагдана.</w:t>
      </w:r>
    </w:p>
    <w:p>
      <w:pPr>
        <w:pStyle w:val="Caption"/>
      </w:pPr>
      <w:r>
        <w:rPr/>
        <w:t xml:space="preserve">BASH</w:t>
      </w:r>
    </w:p>
    <w:p>
      <w:pPr>
        <w:pStyle w:val="Code"/>
      </w:pPr>
      <w:r>
        <w:rPr>
          <w:rFonts w:ascii="Consolas" w:hAnsi="Consolas" w:cs="Consolas"/>
          <w:shd w:fill="F0F5F3" w:val="clear"/>
        </w:rPr>
        <w:t xml:space="preserve">python tools/prepare_docs.py</w:t>
        <w:br/>
        <w:t xml:space="preserve">python -m sphinx -c docs -n -W --keep-going -b doctest . build/doctest</w:t>
        <w:br/>
        <w:t xml:space="preserve">python -m sphinx -c docs -n -W --keep-going -b html . public</w:t>
      </w:r>
    </w:p>
    <w:p>
      <w:pPr>
        <w:pStyle w:val="Normal"/>
      </w:pPr>
      <w:r>
        <w:rPr>
          <w:rFonts w:ascii="Consolas" w:hAnsi="Consolas" w:cs="Consolas"/>
          <w:shd w:fill="F0F5F3" w:val="clear"/>
        </w:rPr>
        <w:t xml:space="preserve">-n</w:t>
      </w:r>
      <w:r>
        <w:rPr/>
        <w:t xml:space="preserve"> unresolved reference шалгана; </w:t>
      </w:r>
      <w:r>
        <w:rPr>
          <w:rFonts w:ascii="Consolas" w:hAnsi="Consolas" w:cs="Consolas"/>
          <w:shd w:fill="F0F5F3" w:val="clear"/>
        </w:rPr>
        <w:t xml:space="preserve">-W</w:t>
      </w:r>
      <w:r>
        <w:rPr/>
        <w:t xml:space="preserve"> warning-ийг build failure болгоно. </w:t>
      </w:r>
      <w:hyperlink r:id="rIdLink3">
        <w:r>
          <w:rPr>
            <w:color w:val="176D91"/>
            <w:u w:val="single"/>
          </w:rPr>
          <w:t xml:space="preserve">GitHub CI</w:t>
        </w:r>
      </w:hyperlink>
      <w:r>
        <w:rPr/>
        <w:t xml:space="preserve">, </w:t>
      </w:r>
      <w:hyperlink r:id="rIdLink4">
        <w:r>
          <w:rPr>
            <w:color w:val="176D91"/>
            <w:u w:val="single"/>
          </w:rPr>
          <w:t xml:space="preserve">GitLab тохируулга</w:t>
        </w:r>
      </w:hyperlink>
      <w:r>
        <w:rPr/>
        <w:t xml:space="preserve">-г тусад нь хадгалсан. GitHub repository, GitHub Pages, GitLab Pages-ийг нэг нотолгоо гэж үзэхгүй. Локал үр дүн </w:t>
      </w:r>
      <w:hyperlink r:id="rIdLink5">
        <w:r>
          <w:rPr>
            <w:color w:val="176D91"/>
            <w:u w:val="single"/>
          </w:rPr>
          <w:t xml:space="preserve">verification.json</w:t>
        </w:r>
      </w:hyperlink>
      <w:r>
        <w:rPr/>
        <w:t xml:space="preserve">, hosted үр дүн </w:t>
      </w:r>
      <w:hyperlink r:id="rIdLink6">
        <w:r>
          <w:rPr>
            <w:color w:val="176D91"/>
            <w:u w:val="single"/>
          </w:rPr>
          <w:t xml:space="preserve">status</w:t>
        </w:r>
      </w:hyperlink>
      <w:r>
        <w:rPr/>
        <w:t xml:space="preserve">-д байна.</w:t>
      </w:r>
    </w:p>
    <w:p>
      <w:pPr>
        <w:pStyle w:val="Heading2"/>
      </w:pPr>
      <w:r>
        <w:rPr/>
        <w:t xml:space="preserve">US-6.3, UE-6 — Manual vs. AI аудит</w:t>
      </w:r>
    </w:p>
    <w:tbl>
      <w:tblPr>
        <w:tblW w:w="9864" w:type="dxa"/>
        <w:tblLayout w:type="fixed"/>
        <w:tblBorders>
          <w:top w:val="single" w:sz="4" w:color="CDD9DE"/>
          <w:left w:val="single" w:sz="4" w:color="CDD9DE"/>
          <w:bottom w:val="single" w:sz="4" w:color="CDD9DE"/>
          <w:right w:val="single" w:sz="4" w:color="CDD9DE"/>
          <w:insideH w:val="single" w:sz="4" w:color="CDD9DE"/>
          <w:insideV w:val="single" w:sz="4" w:color="CDD9DE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639"/>
        <w:gridCol w:w="2950"/>
        <w:gridCol w:w="4275"/>
      </w:tblGrid>
      <w:tr>
        <w:trPr>
          <w:cantSplit/>
          <w:tblHeader/>
        </w:trPr>
        <w:tc>
          <w:tcPr>
            <w:tcW w:w="2639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Үе шат</w:t>
            </w:r>
          </w:p>
        </w:tc>
        <w:tc>
          <w:tcPr>
            <w:tcW w:w="2950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Artifact</w:t>
            </w:r>
          </w:p>
        </w:tc>
        <w:tc>
          <w:tcPr>
            <w:tcW w:w="4275" w:type="dxa"/>
            <w:vAlign w:val="top"/>
            <w:shd w:fill="E5EFEC" w:val="clear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Нотолгооны хүрээ</w:t>
            </w:r>
          </w:p>
        </w:tc>
      </w:tr>
      <w:tr>
        <w:trPr>
          <w:cantSplit/>
        </w:trPr>
        <w:tc>
          <w:tcPr>
            <w:tcW w:w="2639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(a) Baseline</w:t>
            </w:r>
          </w:p>
        </w:tc>
        <w:tc>
          <w:tcPr>
            <w:tcW w:w="2950" w:type="dxa"/>
            <w:vAlign w:val="top"/>
          </w:tcPr>
          <w:p>
            <w:pPr>
              <w:pStyle w:val="TableText"/>
            </w:pPr>
            <w:hyperlink r:id="rIdLink7">
              <w:r>
                <w:rPr>
                  <w:color w:val="176D91"/>
                  <w:u w:val="single"/>
                  <w:sz w:val="18"/>
                </w:rPr>
                <w:t xml:space="preserve">manual_docstring.py</w:t>
              </w:r>
            </w:hyperlink>
          </w:p>
        </w:tc>
        <w:tc>
          <w:tcPr>
            <w:tcW w:w="4275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Codex corrected snapshot; independent human authoring батлаагүй</w:t>
            </w:r>
          </w:p>
        </w:tc>
      </w:tr>
      <w:tr>
        <w:trPr>
          <w:cantSplit/>
        </w:trPr>
        <w:tc>
          <w:tcPr>
            <w:tcW w:w="2639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(b) Candidate/audit</w:t>
            </w:r>
          </w:p>
        </w:tc>
        <w:tc>
          <w:tcPr>
            <w:tcW w:w="2950" w:type="dxa"/>
            <w:vAlign w:val="top"/>
            <w:shd w:fill="F6F9FA" w:val="clear"/>
          </w:tcPr>
          <w:p>
            <w:pPr>
              <w:pStyle w:val="TableText"/>
            </w:pPr>
            <w:hyperlink r:id="rIdLink8">
              <w:r>
                <w:rPr>
                  <w:color w:val="176D91"/>
                  <w:u w:val="single"/>
                  <w:sz w:val="18"/>
                </w:rPr>
                <w:t xml:space="preserve">candidate</w:t>
              </w:r>
            </w:hyperlink>
            <w:r>
              <w:rPr>
                <w:sz w:val="18"/>
              </w:rPr>
              <w:t xml:space="preserve">, </w:t>
            </w:r>
            <w:hyperlink r:id="rIdLink9">
              <w:r>
                <w:rPr>
                  <w:color w:val="176D91"/>
                  <w:u w:val="single"/>
                  <w:sz w:val="18"/>
                </w:rPr>
                <w:t xml:space="preserve">diff</w:t>
              </w:r>
            </w:hyperlink>
            <w:r>
              <w:rPr>
                <w:sz w:val="18"/>
              </w:rPr>
              <w:t xml:space="preserve">, </w:t>
            </w:r>
            <w:hyperlink r:id="rIdLink10">
              <w:r>
                <w:rPr>
                  <w:color w:val="176D91"/>
                  <w:u w:val="single"/>
                  <w:sz w:val="18"/>
                </w:rPr>
                <w:t xml:space="preserve">Bhatti matrix</w:t>
              </w:r>
            </w:hyperlink>
          </w:p>
        </w:tc>
        <w:tc>
          <w:tcPr>
            <w:tcW w:w="4275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Seeded negative fixture; GPT-4/Claude raw output биш</w:t>
            </w:r>
          </w:p>
        </w:tc>
      </w:tr>
      <w:tr>
        <w:trPr>
          <w:cantSplit/>
        </w:trPr>
        <w:tc>
          <w:tcPr>
            <w:tcW w:w="2639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(c) Integration</w:t>
            </w:r>
          </w:p>
        </w:tc>
        <w:tc>
          <w:tcPr>
            <w:tcW w:w="2950" w:type="dxa"/>
            <w:vAlign w:val="top"/>
          </w:tcPr>
          <w:p>
            <w:pPr>
              <w:pStyle w:val="TableText"/>
            </w:pPr>
            <w:hyperlink r:id="rIdLink11">
              <w:r>
                <w:rPr>
                  <w:color w:val="176D91"/>
                  <w:u w:val="single"/>
                  <w:sz w:val="18"/>
                </w:rPr>
                <w:t xml:space="preserve">Autodoc</w:t>
              </w:r>
            </w:hyperlink>
            <w:r>
              <w:rPr>
                <w:sz w:val="18"/>
              </w:rPr>
              <w:t xml:space="preserve">, </w:t>
            </w:r>
            <w:hyperlink r:id="rIdLink12">
              <w:r>
                <w:rPr>
                  <w:color w:val="176D91"/>
                  <w:u w:val="single"/>
                  <w:sz w:val="18"/>
                </w:rPr>
                <w:t xml:space="preserve">build log</w:t>
              </w:r>
            </w:hyperlink>
          </w:p>
        </w:tc>
        <w:tc>
          <w:tcPr>
            <w:tcW w:w="4275" w:type="dxa"/>
            <w:vAlign w:val="top"/>
          </w:tcPr>
          <w:p>
            <w:pPr>
              <w:pStyle w:val="TableText"/>
            </w:pPr>
            <w:r>
              <w:rPr>
                <w:sz w:val="18"/>
              </w:rPr>
              <w:t xml:space="preserve">Нийтлэгдэх docstring-ийг code-оос үүсгэнэ</w:t>
            </w:r>
          </w:p>
        </w:tc>
      </w:tr>
      <w:tr>
        <w:trPr>
          <w:cantSplit/>
        </w:trPr>
        <w:tc>
          <w:tcPr>
            <w:tcW w:w="2639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(d) Reflection</w:t>
            </w:r>
          </w:p>
        </w:tc>
        <w:tc>
          <w:tcPr>
            <w:tcW w:w="2950" w:type="dxa"/>
            <w:vAlign w:val="top"/>
            <w:shd w:fill="F6F9FA" w:val="clear"/>
          </w:tcPr>
          <w:p>
            <w:pPr>
              <w:pStyle w:val="TableText"/>
            </w:pPr>
            <w:hyperlink r:id="rIdLink13">
              <w:r>
                <w:rPr>
                  <w:color w:val="176D91"/>
                  <w:u w:val="single"/>
                  <w:sz w:val="18"/>
                </w:rPr>
                <w:t xml:space="preserve">Тест</w:t>
              </w:r>
            </w:hyperlink>
          </w:p>
        </w:tc>
        <w:tc>
          <w:tcPr>
            <w:tcW w:w="4275" w:type="dxa"/>
            <w:vAlign w:val="top"/>
            <w:shd w:fill="F6F9FA" w:val="clear"/>
          </w:tcPr>
          <w:p>
            <w:pPr>
              <w:pStyle w:val="TableText"/>
            </w:pPr>
            <w:r>
              <w:rPr>
                <w:sz w:val="18"/>
              </w:rPr>
              <w:t xml:space="preserve">Байхгүй method/type; ижил executable AST</w:t>
            </w:r>
          </w:p>
        </w:tc>
      </w:tr>
    </w:tbl>
    <w:p>
      <w:pPr>
        <w:pStyle w:val="Gap"/>
      </w:pPr>
    </w:p>
    <w:p>
      <w:pPr>
        <w:pStyle w:val="Normal"/>
      </w:pPr>
      <w:r>
        <w:rPr/>
        <w:t xml:space="preserve">Use–Verify–Cite: байхгүй refund_order/RefundReceipt; өөр payload-тай key replay; Delivered цуцлалт; owner шалгахгүй; хэрэгжээгүй TTL гэсэн мэдэгдлүүдийг code/test-тэй тулгасан. Хоёроос олон засвар нь бодит exception, Pending хил, trusted identity, instance lifetime-ийг сэргээсэн.</w:t>
      </w:r>
    </w:p>
    <w:p>
      <w:pPr>
        <w:pStyle w:val="Normal"/>
      </w:pPr>
      <w:r>
        <w:rPr/>
        <w:t xml:space="preserve">Explained, Concise, Clear, Usable, Trustworthy гэсэн таван зарчмыг </w:t>
      </w:r>
      <w:hyperlink r:id="rIdLink14">
        <w:r>
          <w:rPr>
            <w:color w:val="176D91"/>
            <w:u w:val="single"/>
          </w:rPr>
          <w:t xml:space="preserve">audit matrix</w:t>
        </w:r>
      </w:hyperlink>
      <w:r>
        <w:rPr/>
        <w:t xml:space="preserve">-д хэрэглэв. Зориудын алдааг model hallucination гэж тайлагнахгүй. Нэрлэсэн GPT-4/Claude prompt/output, human review үлдсэн; </w:t>
      </w:r>
      <w:hyperlink r:id="rIdLink15">
        <w:r>
          <w:rPr>
            <w:color w:val="176D91"/>
            <w:u w:val="single"/>
          </w:rPr>
          <w:t xml:space="preserve">provenance</w:t>
        </w:r>
      </w:hyperlink>
      <w:r>
        <w:rPr/>
        <w:t xml:space="preserve">-д дараалал бий.</w:t>
      </w:r>
    </w:p>
    <w:p>
      <w:pPr>
        <w:pStyle w:val="Heading2"/>
      </w:pPr>
      <w:r>
        <w:rPr/>
        <w:t xml:space="preserve">US-6.4 — Техникийн өр</w:t>
      </w:r>
    </w:p>
    <w:p>
      <w:pPr>
        <w:pStyle w:val="Normal"/>
      </w:pPr>
      <w:hyperlink r:id="rIdLink16">
        <w:r>
          <w:rPr>
            <w:rFonts w:ascii="Consolas" w:hAnsi="Consolas" w:cs="Consolas"/>
            <w:shd w:fill="F0F5F3" w:val="clear"/>
            <w:color w:val="176D91"/>
            <w:u w:val="single"/>
          </w:rPr>
          <w:t xml:space="preserve">check_docs.py</w:t>
        </w:r>
      </w:hyperlink>
      <w:r>
        <w:rPr/>
        <w:t xml:space="preserve"> public section/parameter, inline TODO/FIXME-ийг шалгана. Durable order/idempotency, state policy-ийн ажил </w:t>
      </w:r>
      <w:hyperlink r:id="rIdLink17">
        <w:r>
          <w:rPr>
            <w:color w:val="176D91"/>
            <w:u w:val="single"/>
          </w:rPr>
          <w:t xml:space="preserve">debt register</w:t>
        </w:r>
      </w:hyperlink>
      <w:r>
        <w:rPr/>
        <w:t xml:space="preserve">-д байна. GitHub issue-г GitLab issue гэж тооцохгүй; хуурамч ID үүсгэхгүй.</w:t>
      </w:r>
    </w:p>
    <w:p>
      <w:pPr>
        <w:pStyle w:val="Heading2"/>
      </w:pPr>
      <w:r>
        <w:rPr/>
        <w:t xml:space="preserve">DoD ба эргэцүүлэл</w:t>
      </w:r>
    </w:p>
    <w:p>
      <w:pPr>
        <w:pStyle w:val="Normal"/>
      </w:pPr>
      <w:r>
        <w:rPr/>
        <w:t xml:space="preserve">Docstring, runnable example, reflection, strict build-ийг локал нотолгоогоор шалгана. Hosted pipeline, public GitLab Pages, нэрлэсэн model audit, human review нь тусдаа нотолгоо шаардана. </w:t>
      </w:r>
      <w:hyperlink r:id="rIdLink18">
        <w:r>
          <w:rPr>
            <w:color w:val="176D91"/>
            <w:u w:val="single"/>
          </w:rPr>
          <w:t xml:space="preserve">Нэгдсэн DoD</w:t>
        </w:r>
      </w:hyperlink>
      <w:r>
        <w:rPr/>
        <w:t xml:space="preserve">-д ялгасан.</w:t>
      </w:r>
    </w:p>
    <w:p>
      <w:pPr>
        <w:pStyle w:val="Normal"/>
      </w:pPr>
      <w:r>
        <w:rPr/>
        <w:t xml:space="preserve"/>
      </w:r>
      <w:r>
        <w:rPr>
          <w:b/>
        </w:rPr>
        <w:t xml:space="preserve">Standup:</w:t>
      </w:r>
      <w:r>
        <w:rPr/>
        <w:t xml:space="preserve"> Public class 1, callable 4; build exit code log-д бий; fixture-ийн ghost method/type, зан үйлийн зөрүүг шалгасан.</w:t>
      </w:r>
    </w:p>
    <w:p>
      <w:pPr>
        <w:pStyle w:val="Normal"/>
      </w:pPr>
      <w:r>
        <w:rPr/>
        <w:t xml:space="preserve"/>
      </w:r>
      <w:r>
        <w:rPr>
          <w:b/>
        </w:rPr>
        <w:t xml:space="preserve">Retrospective:</w:t>
      </w:r>
      <w:r>
        <w:rPr/>
        <w:t xml:space="preserve"> Google-style бүтэц оролт/буцаалт/алдааг тогтвортой уншуулахад тустай. Python болон Sphinx doctest-ийг хоёуланг ажиллуулах нь import context-ийн далд нөхцөлийг ил гаргадаг. Дараагийн семинарт model provenance, requirement version, human review-г эхнээс нь бүртгэнэ.</w:t>
      </w:r>
    </w:p>
    <w:p>
      <w:pPr>
        <w:pStyle w:val="Normal"/>
      </w:pPr>
      <w:r>
        <w:rPr/>
        <w:t xml:space="preserve"/>
      </w:r>
      <w:r>
        <w:rPr>
          <w:b/>
        </w:rPr>
        <w:t xml:space="preserve">Reflection:</w:t>
      </w:r>
      <w:r>
        <w:rPr/>
        <w:t xml:space="preserve"> Trustworthy шалгалтад өнгө аяс бус code/test/source чухал. Ижил domain example, docs-as-code gate-ийг цааш хэрэглэнэ. Ideal workflow, локал prototype, hosted deployment-ийн ялгааг нуухгүй. Эргэцүүллийг оюутан эцэслэн хянана.</w:t>
      </w:r>
    </w:p>
    <w:p>
      <w:pPr>
        <w:pStyle w:val="Normal"/>
      </w:pPr>
      <w:r>
        <w:rPr/>
        <w:t xml:space="preserve"/>
      </w:r>
      <w:r>
        <w:rPr>
          <w:b/>
        </w:rPr>
        <w:t xml:space="preserve">Эх сурвалж:</w:t>
      </w:r>
      <w:r>
        <w:rPr/>
        <w:t xml:space="preserve"> Sprint 06 handout, агуулгатай х.1–2; Week_06_FoodFlow тайлан; </w:t>
      </w:r>
      <w:hyperlink r:id="rIdLink19">
        <w:r>
          <w:rPr>
            <w:color w:val="176D91"/>
            <w:u w:val="single"/>
          </w:rPr>
          <w:t xml:space="preserve">Sphinx autodoc</w:t>
        </w:r>
      </w:hyperlink>
      <w:r>
        <w:rPr/>
        <w:t xml:space="preserve">, </w:t>
      </w:r>
      <w:hyperlink r:id="rIdLink20">
        <w:r>
          <w:rPr>
            <w:color w:val="176D91"/>
            <w:u w:val="single"/>
          </w:rPr>
          <w:t xml:space="preserve">build options</w:t>
        </w:r>
      </w:hyperlink>
      <w:r>
        <w:rPr/>
        <w:t xml:space="preserve">, </w:t>
      </w:r>
      <w:hyperlink r:id="rIdLink21">
        <w:r>
          <w:rPr>
            <w:color w:val="176D91"/>
            <w:u w:val="single"/>
          </w:rPr>
          <w:t xml:space="preserve">GitLab Pages</w:t>
        </w:r>
      </w:hyperlink>
      <w:r>
        <w:rPr/>
        <w:t xml:space="preserve">.</w:t>
      </w:r>
    </w:p>
    <w:sectPr>
      <w:footerReference w:type="default" r:id="rIdFooter"/>
      <w:headerReference w:type="default" r:id="rIdHeader"/>
      <w:type w:val="nextPage"/>
      <w:pgSz w:w="11906" w:h="16838" w:orient="portrait"/>
      <w:pgMar w:top="1021" w:right="1021" w:bottom="1021" w:left="1021" w:header="400" w:footer="40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rPr/>
      <w:t xml:space="preserve">FoodFlow · 2026-10-13 · </w:t>
    </w:r>
    <w:fldSimple w:instr="PAGE">
      <w:r>
        <w:rPr/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Footer"/>
    </w:pPr>
    <w:r>
      <w:rPr/>
      <w:t xml:space="preserve">FOODFLOW / SOFTWARE PROJECT DOCUMENTATION</w:t>
    </w:r>
  </w:p>
</w:hdr>
</file>

<file path=word/settings.xml><?xml version="1.0" encoding="utf-8"?>
<w:settings xmlns:w="http://schemas.openxmlformats.org/wordprocessingml/2006/main">
  <w:updateFields w:val="true"/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lang w:val="mn-MN"/>
        <w:sz w:val="21"/>
        <w:color w:val="18334A"/>
      </w:rPr>
    </w:rPrDefault>
  </w:docDefaults>
  <w:style w:type="paragraph" w:styleId="Normal" w:default="1">
    <w:name w:val="Normal"/>
    <w:pPr>
      <w:spacing w:before="0" w:after="85" w:line="280" w:lineRule="auto"/>
      <w:widowControl/>
    </w:pPr>
    <w:rPr>
      <w:sz w:val="21"/>
    </w:rPr>
  </w:style>
  <w:style w:type="paragraph" w:styleId="Title">
    <w:name w:val="Title"/>
    <w:basedOn w:val="Normal"/>
    <w:pPr>
      <w:spacing w:before="0" w:after="160" w:line="780" w:lineRule="auto"/>
      <w:widowControl/>
    </w:pPr>
    <w:rPr>
      <w:sz w:val="68"/>
      <w:b/>
    </w:rPr>
  </w:style>
  <w:style w:type="paragraph" w:styleId="Subtitle">
    <w:name w:val="Subtitle"/>
    <w:basedOn w:val="Normal"/>
    <w:pPr>
      <w:spacing w:before="0" w:after="180" w:line="500" w:lineRule="auto"/>
      <w:widowControl/>
    </w:pPr>
    <w:rPr>
      <w:sz w:val="40"/>
    </w:rPr>
  </w:style>
  <w:style w:type="paragraph" w:styleId="TableText">
    <w:name w:val="TableText"/>
    <w:basedOn w:val="Normal"/>
    <w:pPr>
      <w:spacing w:before="0" w:after="0" w:line="230" w:lineRule="auto"/>
      <w:widowControl/>
    </w:pPr>
    <w:rPr>
      <w:sz w:val="18"/>
    </w:rPr>
  </w:style>
  <w:style w:type="paragraph" w:styleId="Caption">
    <w:name w:val="Caption"/>
    <w:basedOn w:val="Normal"/>
    <w:pPr>
      <w:spacing w:before="0" w:after="90" w:line="210" w:lineRule="auto"/>
      <w:widowControl/>
    </w:pPr>
    <w:rPr>
      <w:sz w:val="16"/>
    </w:rPr>
  </w:style>
  <w:style w:type="paragraph" w:styleId="Code">
    <w:name w:val="Code"/>
    <w:basedOn w:val="Normal"/>
    <w:pPr>
      <w:spacing w:before="0" w:after="120" w:line="210" w:lineRule="auto"/>
      <w:widowControl/>
      <w:shd w:fill="F4F7F8" w:val="clear"/>
      <w:ind w:left="140" w:right="140"/>
    </w:pPr>
    <w:rPr>
      <w:sz w:val="16"/>
      <w:rFonts w:ascii="Consolas" w:hAnsi="Consolas" w:cs="Consolas"/>
    </w:rPr>
  </w:style>
  <w:style w:type="paragraph" w:styleId="Quote">
    <w:name w:val="Quote"/>
    <w:basedOn w:val="Normal"/>
    <w:pPr>
      <w:spacing w:before="0" w:after="120" w:line="260" w:lineRule="auto"/>
      <w:widowControl/>
      <w:shd w:fill="F4F7F8" w:val="clear"/>
      <w:ind w:left="140" w:right="140"/>
    </w:pPr>
    <w:rPr>
      <w:sz w:val="20"/>
    </w:rPr>
  </w:style>
  <w:style w:type="paragraph" w:styleId="Gap">
    <w:name w:val="Gap"/>
    <w:basedOn w:val="Normal"/>
    <w:pPr>
      <w:spacing w:before="0" w:after="70" w:line="40" w:lineRule="auto"/>
      <w:widowControl/>
    </w:pPr>
    <w:rPr>
      <w:sz w:val="4"/>
    </w:rPr>
  </w:style>
  <w:style w:type="paragraph" w:styleId="Footer">
    <w:name w:val="Footer"/>
    <w:basedOn w:val="Normal"/>
    <w:pPr>
      <w:spacing w:before="0" w:after="0" w:line="180" w:lineRule="auto"/>
      <w:widowControl/>
    </w:pPr>
    <w:rPr>
      <w:sz w:val="16"/>
    </w:rPr>
  </w:style>
  <w:style w:type="paragraph" w:styleId="Heading1">
    <w:name w:val="Heading1"/>
    <w:basedOn w:val="Normal"/>
    <w:pPr>
      <w:spacing w:before="0" w:after="115" w:line="494" w:lineRule="auto"/>
      <w:widowControl/>
      <w:keepNext/>
      <w:outlineLvl w:val="0"/>
    </w:pPr>
    <w:rPr>
      <w:sz w:val="38"/>
      <w:b/>
    </w:rPr>
  </w:style>
  <w:style w:type="paragraph" w:styleId="Heading2">
    <w:name w:val="Heading2"/>
    <w:basedOn w:val="Normal"/>
    <w:pPr>
      <w:spacing w:before="140" w:after="115" w:line="351" w:lineRule="auto"/>
      <w:widowControl/>
      <w:keepNext/>
      <w:outlineLvl w:val="1"/>
    </w:pPr>
    <w:rPr>
      <w:sz w:val="27"/>
      <w:b/>
    </w:rPr>
  </w:style>
  <w:style w:type="paragraph" w:styleId="Heading3">
    <w:name w:val="Heading3"/>
    <w:basedOn w:val="Normal"/>
    <w:pPr>
      <w:spacing w:before="140" w:after="115" w:line="299" w:lineRule="auto"/>
      <w:widowControl/>
      <w:keepNext/>
      <w:outlineLvl w:val="2"/>
    </w:pPr>
    <w:rPr>
      <w:sz w:val="23"/>
      <w:b/>
    </w:rPr>
  </w:style>
  <w:style w:type="paragraph" w:styleId="Heading4">
    <w:name w:val="Heading4"/>
    <w:basedOn w:val="Normal"/>
    <w:pPr>
      <w:spacing w:before="140" w:after="115" w:line="273" w:lineRule="auto"/>
      <w:widowControl/>
      <w:keepNext/>
      <w:outlineLvl w:val="3"/>
    </w:pPr>
    <w:rPr>
      <w:sz w:val="21"/>
      <w:b/>
    </w:rPr>
  </w:style>
  <w:style w:type="paragraph" w:styleId="Heading5">
    <w:name w:val="Heading5"/>
    <w:basedOn w:val="Normal"/>
    <w:pPr>
      <w:spacing w:before="140" w:after="115" w:line="273" w:lineRule="auto"/>
      <w:widowControl/>
      <w:keepNext/>
      <w:outlineLvl w:val="4"/>
    </w:pPr>
    <w:rPr>
      <w:sz w:val="21"/>
      <w:b/>
    </w:rPr>
  </w:style>
  <w:style w:type="paragraph" w:styleId="Heading6">
    <w:name w:val="Heading6"/>
    <w:basedOn w:val="Normal"/>
    <w:pPr>
      <w:spacing w:before="140" w:after="115" w:line="273" w:lineRule="auto"/>
      <w:widowControl/>
      <w:keepNext/>
      <w:outlineLvl w:val="5"/>
    </w:pPr>
    <w:rPr>
      <w:sz w:val="21"/>
      <w:b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Footer" Type="http://schemas.openxmlformats.org/officeDocument/2006/relationships/footer" Target="footer1.xml" /><Relationship Id="rIdHeader" Type="http://schemas.openxmlformats.org/officeDocument/2006/relationships/header" Target="header1.xml" /><Relationship Id="rIdLink1" Type="http://schemas.openxmlformats.org/officeDocument/2006/relationships/hyperlink" Target="https://github.com/Tuguldur0222/foodflow-documentation/blob/main/foodflow/order_service.py" TargetMode="External" /><Relationship Id="rIdLink2" Type="http://schemas.openxmlformats.org/officeDocument/2006/relationships/hyperlink" Target="https://github.com/Tuguldur0222/foodflow-documentation/blob/main/CHANGELOG.md" TargetMode="External" /><Relationship Id="rIdLink3" Type="http://schemas.openxmlformats.org/officeDocument/2006/relationships/hyperlink" Target="https://github.com/Tuguldur0222/foodflow-documentation/blob/main/.github/workflows/quality.yml" TargetMode="External" /><Relationship Id="rIdLink4" Type="http://schemas.openxmlformats.org/officeDocument/2006/relationships/hyperlink" Target="https://github.com/Tuguldur0222/foodflow-documentation/blob/main/.gitlab-ci.yml" TargetMode="External" /><Relationship Id="rIdLink5" Type="http://schemas.openxmlformats.org/officeDocument/2006/relationships/hyperlink" Target="https://github.com/Tuguldur0222/foodflow-documentation/blob/main/review/verification.json" TargetMode="External" /><Relationship Id="rIdLink6" Type="http://schemas.openxmlformats.org/officeDocument/2006/relationships/hyperlink" Target="https://github.com/Tuguldur0222/foodflow-documentation/blob/main/docs/project/status.md" TargetMode="External" /><Relationship Id="rIdLink7" Type="http://schemas.openxmlformats.org/officeDocument/2006/relationships/hyperlink" Target="https://github.com/Tuguldur0222/foodflow-documentation/blob/main/review/manual_docstring.py" TargetMode="External" /><Relationship Id="rIdLink8" Type="http://schemas.openxmlformats.org/officeDocument/2006/relationships/hyperlink" Target="https://github.com/Tuguldur0222/foodflow-documentation/blob/main/review/ai_candidate_docstring.py" TargetMode="External" /><Relationship Id="rIdLink9" Type="http://schemas.openxmlformats.org/officeDocument/2006/relationships/hyperlink" Target="https://github.com/Tuguldur0222/foodflow-documentation/blob/main/review/manual_vs_ai.diff" TargetMode="External" /><Relationship Id="rIdLink10" Type="http://schemas.openxmlformats.org/officeDocument/2006/relationships/hyperlink" Target="https://github.com/Tuguldur0222/foodflow-documentation/blob/main/review/bhatti_audit_table.md" TargetMode="External" /><Relationship Id="rIdLink11" Type="http://schemas.openxmlformats.org/officeDocument/2006/relationships/hyperlink" Target="https://github.com/Tuguldur0222/foodflow-documentation/blob/main/docs/source/api.rst" TargetMode="External" /><Relationship Id="rIdLink12" Type="http://schemas.openxmlformats.org/officeDocument/2006/relationships/hyperlink" Target="https://github.com/Tuguldur0222/foodflow-documentation/blob/main/review/sphinx_html_log.txt" TargetMode="External" /><Relationship Id="rIdLink13" Type="http://schemas.openxmlformats.org/officeDocument/2006/relationships/hyperlink" Target="https://github.com/Tuguldur0222/foodflow-documentation/blob/main/tests/test_ai_hallucinations.py" TargetMode="External" /><Relationship Id="rIdLink14" Type="http://schemas.openxmlformats.org/officeDocument/2006/relationships/hyperlink" Target="https://github.com/Tuguldur0222/foodflow-documentation/blob/main/review/bhatti_audit_table.md" TargetMode="External" /><Relationship Id="rIdLink15" Type="http://schemas.openxmlformats.org/officeDocument/2006/relationships/hyperlink" Target="https://github.com/Tuguldur0222/foodflow-documentation/blob/main/review/provenance.md" TargetMode="External" /><Relationship Id="rIdLink16" Type="http://schemas.openxmlformats.org/officeDocument/2006/relationships/hyperlink" Target="https://github.com/Tuguldur0222/foodflow-documentation/blob/main/tools/check_docs.py" TargetMode="External" /><Relationship Id="rIdLink17" Type="http://schemas.openxmlformats.org/officeDocument/2006/relationships/hyperlink" Target="https://github.com/Tuguldur0222/foodflow-documentation/blob/main/review/technical_debt.md" TargetMode="External" /><Relationship Id="rIdLink18" Type="http://schemas.openxmlformats.org/officeDocument/2006/relationships/hyperlink" Target="https://github.com/Tuguldur0222/foodflow-documentation/blob/main/docs/project/status.md" TargetMode="External" /><Relationship Id="rIdLink19" Type="http://schemas.openxmlformats.org/officeDocument/2006/relationships/hyperlink" Target="https://www.sphinx-doc.org/en/master/usage/extensions/autodoc.html" TargetMode="External" /><Relationship Id="rIdLink20" Type="http://schemas.openxmlformats.org/officeDocument/2006/relationships/hyperlink" Target="https://www.sphinx-doc.org/en/master/man/sphinx-build.html" TargetMode="External" /><Relationship Id="rIdLink21" Type="http://schemas.openxmlformats.org/officeDocument/2006/relationships/hyperlink" Target="https://docs.gitlab.com/user/project/pages/introduction/" TargetMode="External" /></Relationships>
</file>

<file path=docProps/core.xml><?xml version="1.0" encoding="utf-8"?>
<cp:coreProperties xmlns:cp="http://schemas.openxmlformats.org/package/2006/metadata/core-properties" xmlns:dc="http://purl.org/dc/elements/1.1/">
  <dc:title>W06 — Кодын баримтжуулалт ба AI аудит</dc:title>
  <dc:creator>Ю. Төгөлдөр · 23B1NUM2350</dc:creator>
  <dc:description>Editable export from canonical FoodFlow Markdown. 2026-10-13</dc:description>
</cp:coreProperties>
</file>