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108" w:firstLineChars="7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实验一 基本图形设计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实验目的与要求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根据教材第二章所学内容，采用基于Html 的javascript 编程实现对金刚石图案和海绵图案设计任务。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基本要求：复现教材第二章中的相关图形参数。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进阶：在教材图形的基础上增加一些创意的设计(比如颜色填充、图形变换等)。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总体要求;实验完成后，把相关程序代码、实验结果截图和实验报告打包上交。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实验步骤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创建新html文件，在其中开始写入代码。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创建标签，设定初值。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写入代码，完成图形。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将参考代码中的语句：“context.strokeStyle="#ff0000";”进行了修改：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设置gradient值，将它作为渐变色彩的受体，通过createLinearGradient()函数创建，并通过addColorStop()设置渐变色彩的选择。使</w:t>
      </w:r>
      <w:r>
        <w:rPr>
          <w:rFonts w:hint="default"/>
          <w:lang w:val="en-US" w:eastAsia="zh-CN"/>
        </w:rPr>
        <w:t>context.strokeStyle=gradient</w:t>
      </w:r>
      <w:r>
        <w:rPr>
          <w:rFonts w:hint="eastAsia"/>
          <w:lang w:val="en-US" w:eastAsia="zh-CN"/>
        </w:rPr>
        <w:t>，完成图形色彩的替换。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gradient=context.createLinearGradient(0,0,170,0);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gradient.addColorStop("0","magenta");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gradient.addColorStop("0.5","blue");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gradient.addColorStop("1.0","red");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context.strokeStyle=gradient;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通过改变参考代码中坐标点的位置（海绵图）、或r等值的长度来改变图形的形状、大小。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通过在tria()循环函数中添加fill()语句，可以为三角形填充颜色.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4555" cy="279146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当在海绵图中添加一个点，形成四边形时，无法进行多次迭代。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56915" cy="916305"/>
            <wp:effectExtent l="0" t="0" r="63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结果：（这是基于数学事实的）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31925" cy="2505075"/>
            <wp:effectExtent l="0" t="0" r="158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当在tria()循环中填充色彩时，是以全部图形进行填充的。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80895" cy="1822450"/>
            <wp:effectExtent l="0" t="0" r="146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结果：</w:t>
      </w:r>
      <w:r>
        <w:drawing>
          <wp:inline distT="0" distB="0" distL="114300" distR="114300">
            <wp:extent cx="1062990" cy="1762125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64565" cy="1761490"/>
            <wp:effectExtent l="0" t="0" r="69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图1：先stroke再fill；图2：先fill再stroke。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（金刚石）当N的值为偶数，图案会穿过圆心。（基于数学原理）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96202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6645" cy="2542540"/>
            <wp:effectExtent l="0" t="0" r="1460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实验结果</w:t>
      </w:r>
    </w:p>
    <w:p>
      <w:r>
        <w:drawing>
          <wp:inline distT="0" distB="0" distL="114300" distR="114300">
            <wp:extent cx="1459230" cy="24663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2760" cy="248285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调整三角形顶点的x坐标后：</w:t>
      </w:r>
    </w:p>
    <w:p>
      <w:r>
        <w:drawing>
          <wp:inline distT="0" distB="0" distL="114300" distR="114300">
            <wp:extent cx="940435" cy="186690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填充色彩后：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107440" cy="2165985"/>
            <wp:effectExtent l="0" t="0" r="165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结果分析与结论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两张图案的绘制均通过context.moveTo()函数一笔画出；其基于点间连线形成图案。当点的数量为质数与非质数时，连线方式略有不同。通过设置不同的函数，找到目标点并将两点之间连线，我们可以得到目标的图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图形的本质来自于两点之间的连线；而设置恰当的点的位置的函数，可以帮助我们画出不同的图形。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2.关于fill()填充结果的解释：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75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"https://so.csdn.net/so/search?q=Canvas&amp;spm=1001.2101.3001.7020" \t "https://blog.csdn.net/zwt_1/article/details/_blank"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Canvas</w:t>
      </w:r>
      <w:r>
        <w:rPr>
          <w:rFonts w:hint="default" w:ascii="Arial" w:hAnsi="Arial" w:eastAsia="Arial" w:cs="Arial"/>
          <w:b w:val="0"/>
          <w:i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中使用fill()进行填充，遵循非零环绕填充规则。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75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非零环绕填充规则：如果想知道某一区域是否被填充，就从这一区域画一条直线向外，在与其他线的交点处，如果其他线是顺时针方向画的，就+1，逆时针则-1，如果最后总和为0，则不会填充，非零则填充。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6A0C7"/>
    <w:multiLevelType w:val="singleLevel"/>
    <w:tmpl w:val="8BD6A0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11572F"/>
    <w:multiLevelType w:val="singleLevel"/>
    <w:tmpl w:val="9A1157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01054"/>
    <w:rsid w:val="11470B8A"/>
    <w:rsid w:val="30792329"/>
    <w:rsid w:val="5B001054"/>
    <w:rsid w:val="5DD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2022-11-11T08:43:00Z</dcterms:created>
  <dc:creator>旬与信</dc:creator>
  <cp:lastModifiedBy>旬与信</cp:lastModifiedBy>
  <dcterms:modified xsi:type="dcterms:W3CDTF">2022-11-11T10:03:09Z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2052-11.1.0.9172</vt:lpwstr>
  </property>
</Properties>
</file>