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435A8C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TS9.1_LAB_9</w:t>
            </w:r>
            <w:r w:rsidR="002E76BB">
              <w:rPr>
                <w:lang w:val="en-US"/>
              </w:rPr>
              <w:t>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33605F" w:rsidP="000173E7">
            <w:pPr>
              <w:rPr>
                <w:lang w:val="en-US"/>
              </w:rPr>
            </w:pPr>
            <w:r>
              <w:rPr>
                <w:lang w:val="en-US"/>
              </w:rPr>
              <w:t xml:space="preserve">mark </w:t>
            </w:r>
            <w:r w:rsidR="00435A8C">
              <w:rPr>
                <w:lang w:val="en-US"/>
              </w:rPr>
              <w:t>= 100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435A8C" w:rsidP="000173E7">
            <w:pPr>
              <w:rPr>
                <w:lang w:val="en-US"/>
              </w:rPr>
            </w:pPr>
            <w:r>
              <w:rPr>
                <w:lang w:val="en-US"/>
              </w:rPr>
              <w:t>Rating = ‘A’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86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‘B’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75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‘C’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67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‘D’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</w:t>
            </w:r>
            <w:r w:rsidR="006554D4">
              <w:rPr>
                <w:lang w:val="en-US"/>
              </w:rPr>
              <w:t>61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‘E’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36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‘F’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30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AC5C38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</w:t>
            </w:r>
            <w:r w:rsidR="00435A8C">
              <w:rPr>
                <w:lang w:val="en-US"/>
              </w:rPr>
              <w:t>X’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19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AC5C38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</w:t>
            </w:r>
            <w:r w:rsidR="00435A8C">
              <w:rPr>
                <w:lang w:val="en-US"/>
              </w:rPr>
              <w:t>X’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r w:rsidR="00435A8C">
              <w:rPr>
                <w:lang w:val="en-US"/>
              </w:rPr>
              <w:t xml:space="preserve"> = 62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‘F’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33605F" w:rsidP="001A443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  <w:bookmarkStart w:id="0" w:name="_GoBack"/>
            <w:bookmarkEnd w:id="0"/>
            <w:r w:rsidR="00435A8C">
              <w:rPr>
                <w:lang w:val="en-US"/>
              </w:rPr>
              <w:t xml:space="preserve"> = 91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‘A’</w:t>
            </w:r>
          </w:p>
        </w:tc>
      </w:tr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15F" w:rsidRDefault="00E2215F" w:rsidP="007559FC">
      <w:pPr>
        <w:spacing w:after="0" w:line="240" w:lineRule="auto"/>
      </w:pPr>
      <w:r>
        <w:separator/>
      </w:r>
    </w:p>
  </w:endnote>
  <w:endnote w:type="continuationSeparator" w:id="0">
    <w:p w:rsidR="00E2215F" w:rsidRDefault="00E2215F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15F" w:rsidRDefault="00E2215F" w:rsidP="007559FC">
      <w:pPr>
        <w:spacing w:after="0" w:line="240" w:lineRule="auto"/>
      </w:pPr>
      <w:r>
        <w:separator/>
      </w:r>
    </w:p>
  </w:footnote>
  <w:footnote w:type="continuationSeparator" w:id="0">
    <w:p w:rsidR="00E2215F" w:rsidRDefault="00E2215F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134E35"/>
    <w:rsid w:val="002E76BB"/>
    <w:rsid w:val="0033605F"/>
    <w:rsid w:val="00435A8C"/>
    <w:rsid w:val="005B4C63"/>
    <w:rsid w:val="005F0D71"/>
    <w:rsid w:val="00616EF0"/>
    <w:rsid w:val="00635CBC"/>
    <w:rsid w:val="00651D08"/>
    <w:rsid w:val="006554D4"/>
    <w:rsid w:val="0072049C"/>
    <w:rsid w:val="007559FC"/>
    <w:rsid w:val="00765249"/>
    <w:rsid w:val="00797A38"/>
    <w:rsid w:val="0083462E"/>
    <w:rsid w:val="008F4039"/>
    <w:rsid w:val="009F68D6"/>
    <w:rsid w:val="00AA4C27"/>
    <w:rsid w:val="00AC5C38"/>
    <w:rsid w:val="00AE2577"/>
    <w:rsid w:val="00B83E22"/>
    <w:rsid w:val="00BA6C21"/>
    <w:rsid w:val="00C35F70"/>
    <w:rsid w:val="00D9545D"/>
    <w:rsid w:val="00E2215F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15</cp:revision>
  <dcterms:created xsi:type="dcterms:W3CDTF">2021-03-21T13:10:00Z</dcterms:created>
  <dcterms:modified xsi:type="dcterms:W3CDTF">2021-04-09T17:37:00Z</dcterms:modified>
</cp:coreProperties>
</file>