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20"/>
      </w:pPr>
      <w:r>
        <w:rPr>
          <w:rFonts w:ascii="Aptos" w:hAnsi="Aptos"/>
          <w:b/>
          <w:i w:val="0"/>
          <w:color w:val="2A7F83"/>
          <w:sz w:val="18"/>
        </w:rPr>
        <w:t>TECHNICAL PROOF OF CONCEPT</w:t>
      </w:r>
    </w:p>
    <w:p>
      <w:pPr>
        <w:pStyle w:val="Title"/>
        <w:spacing w:after="140"/>
      </w:pPr>
      <w:r>
        <w:t>Selegic HR Attendance Tracker</w:t>
      </w:r>
    </w:p>
    <w:p>
      <w:pPr>
        <w:spacing w:after="340"/>
      </w:pPr>
      <w:r>
        <w:rPr>
          <w:rFonts w:ascii="Aptos" w:hAnsi="Aptos"/>
          <w:b w:val="0"/>
          <w:i w:val="0"/>
          <w:color w:val="2F6690"/>
          <w:sz w:val="30"/>
        </w:rPr>
        <w:t>LWC, Apex and Salesforce data model</w:t>
      </w:r>
    </w:p>
    <w:p>
      <w:pPr>
        <w:spacing w:after="320"/>
      </w:pPr>
      <w:r>
        <w:rPr>
          <w:rFonts w:ascii="Aptos" w:hAnsi="Aptos"/>
          <w:b w:val="0"/>
          <w:i w:val="0"/>
          <w:color w:val="566575"/>
          <w:sz w:val="18"/>
        </w:rPr>
        <w:t>Prepared 13 October 2026  |  Repository baseline: Selegic HR Management APP</w:t>
      </w:r>
    </w:p>
    <w:p>
      <w:pPr>
        <w:pStyle w:val="Heading1"/>
      </w:pPr>
      <w:r>
        <w:t>Purpose</w:t>
      </w:r>
    </w:p>
    <w:p>
      <w:pPr/>
      <w:r>
        <w:rPr>
          <w:rFonts w:ascii="Aptos" w:hAnsi="Aptos"/>
          <w:b w:val="0"/>
          <w:i w:val="0"/>
          <w:color w:val="202A34"/>
          <w:sz w:val="20"/>
        </w:rPr>
        <w:t>This POC describes the monthly attendance tracker in the Salesforce DX project. It explains the Lightning Web Component, the Apex service, the custom objects and fields used by the code, and how attendance and leave counts move between the screen and the Salesforce org.</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10080"/>
      </w:tblGrid>
      <w:tr>
        <w:tc>
          <w:tcPr>
            <w:tcW w:type="dxa" w:w="10166"/>
            <w:shd w:fill="EAF2F8"/>
            <w:tcMar>
              <w:top w:w="150" w:type="dxa"/>
              <w:start w:w="180" w:type="dxa"/>
              <w:bottom w:w="150" w:type="dxa"/>
              <w:end w:w="180" w:type="dxa"/>
            </w:tcMar>
          </w:tcPr>
          <w:p>
            <w:pPr>
              <w:spacing w:after="60"/>
            </w:pPr>
            <w:r>
              <w:rPr>
                <w:rFonts w:ascii="Aptos" w:hAnsi="Aptos"/>
                <w:b/>
                <w:i w:val="0"/>
                <w:color w:val="2F6690"/>
                <w:sz w:val="20"/>
              </w:rPr>
              <w:t>Current implementation</w:t>
            </w:r>
          </w:p>
          <w:p>
            <w:pPr>
              <w:spacing w:after="0" w:line="252" w:lineRule="auto"/>
            </w:pPr>
            <w:r>
              <w:rPr>
                <w:rFonts w:ascii="Aptos" w:hAnsi="Aptos"/>
                <w:b w:val="0"/>
                <w:i w:val="0"/>
                <w:color w:val="202A34"/>
                <w:sz w:val="19"/>
              </w:rPr>
              <w:t>The tracker persists daily attendance in Attendance__c. It does not yet have separate leave request, leave type, or leave transaction objects. The Leave summary and remaining balance are calculated from Attendance__c records and a name-based allocation map in the LWC.</w:t>
            </w:r>
          </w:p>
        </w:tc>
      </w:tr>
    </w:tbl>
    <w:p>
      <w:pPr>
        <w:spacing w:after="20"/>
      </w:pPr>
    </w:p>
    <w:p>
      <w:pPr>
        <w:pStyle w:val="Heading2"/>
      </w:pPr>
      <w:r>
        <w:t>At a glance</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1944"/>
        <w:gridCol w:w="8136"/>
      </w:tblGrid>
      <w:tr>
        <w:trPr>
          <w:tblHeader w:val="true"/>
          <w:cantSplit/>
        </w:trPr>
        <w:tc>
          <w:tcPr>
            <w:tcW w:type="dxa" w:w="1944"/>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Layer</w:t>
            </w:r>
          </w:p>
        </w:tc>
        <w:tc>
          <w:tcPr>
            <w:tcW w:type="dxa" w:w="8136"/>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Current implementation</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b w:val="0"/>
                <w:i w:val="0"/>
                <w:color w:val="202A34"/>
                <w:sz w:val="18"/>
              </w:rPr>
              <w:t>Screen</w:t>
            </w:r>
          </w:p>
        </w:tc>
        <w:tc>
          <w:tcPr>
            <w:tcW w:type="dxa" w:w="8136"/>
            <w:vAlign w:val="center"/>
            <w:tcMar>
              <w:top w:w="90" w:type="dxa"/>
              <w:start w:w="100" w:type="dxa"/>
              <w:bottom w:w="90" w:type="dxa"/>
              <w:end w:w="100" w:type="dxa"/>
            </w:tcMar>
          </w:tcPr>
          <w:p>
            <w:pPr>
              <w:spacing w:after="0" w:line="240" w:lineRule="auto"/>
            </w:pPr>
            <w:r/>
            <w:r>
              <w:rPr>
                <w:rFonts w:ascii="Aptos" w:hAnsi="Aptos"/>
                <w:b w:val="0"/>
                <w:i w:val="0"/>
                <w:color w:val="202A34"/>
                <w:sz w:val="18"/>
              </w:rPr>
              <w:t>attendanceMonthlyView LWC mounted on Salesforce Home or App pages.</w:t>
            </w:r>
          </w:p>
        </w:tc>
      </w:tr>
      <w:tr>
        <w:trPr>
          <w:cantSplit/>
        </w:trPr>
        <w:tc>
          <w:tcPr>
            <w:tcW w:type="dxa" w:w="19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8"/>
              </w:rPr>
              <w:t>Service</w:t>
            </w:r>
          </w:p>
        </w:tc>
        <w:tc>
          <w:tcPr>
            <w:tcW w:type="dxa" w:w="8136"/>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8"/>
              </w:rPr>
              <w:t>AttendanceController exposes read methods and an attendance save method to the LWC.</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b w:val="0"/>
                <w:i w:val="0"/>
                <w:color w:val="202A34"/>
                <w:sz w:val="18"/>
              </w:rPr>
              <w:t>Org records</w:t>
            </w:r>
          </w:p>
        </w:tc>
        <w:tc>
          <w:tcPr>
            <w:tcW w:type="dxa" w:w="8136"/>
            <w:vAlign w:val="center"/>
            <w:tcMar>
              <w:top w:w="90" w:type="dxa"/>
              <w:start w:w="100" w:type="dxa"/>
              <w:bottom w:w="90" w:type="dxa"/>
              <w:end w:w="100" w:type="dxa"/>
            </w:tcMar>
          </w:tcPr>
          <w:p>
            <w:pPr>
              <w:spacing w:after="0" w:line="240" w:lineRule="auto"/>
            </w:pPr>
            <w:r/>
            <w:r>
              <w:rPr>
                <w:rFonts w:ascii="Aptos" w:hAnsi="Aptos"/>
                <w:b w:val="0"/>
                <w:i w:val="0"/>
                <w:color w:val="202A34"/>
                <w:sz w:val="18"/>
              </w:rPr>
              <w:t>Employee__c, Attendance__c and Holiday__c are queried by the controller.</w:t>
            </w:r>
          </w:p>
        </w:tc>
      </w:tr>
      <w:tr>
        <w:trPr>
          <w:cantSplit/>
        </w:trPr>
        <w:tc>
          <w:tcPr>
            <w:tcW w:type="dxa" w:w="19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8"/>
              </w:rPr>
              <w:t>Leave summary</w:t>
            </w:r>
          </w:p>
        </w:tc>
        <w:tc>
          <w:tcPr>
            <w:tcW w:type="dxa" w:w="8136"/>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8"/>
              </w:rPr>
              <w:t>Leave is counted year to date through the selected month; allocation values are held in JavaScript.</w:t>
            </w:r>
          </w:p>
        </w:tc>
      </w:tr>
    </w:tbl>
    <w:p>
      <w:pPr>
        <w:spacing w:after="20"/>
      </w:pPr>
    </w:p>
    <w:p>
      <w:pPr>
        <w:pStyle w:val="Heading2"/>
      </w:pPr>
      <w:r>
        <w:t>What the POC demonstrates</w:t>
      </w:r>
    </w:p>
    <w:p>
      <w:pPr>
        <w:pStyle w:val="ListBullet"/>
      </w:pPr>
      <w:r>
        <w:rPr>
          <w:rFonts w:ascii="Aptos" w:hAnsi="Aptos"/>
          <w:b w:val="0"/>
          <w:i w:val="0"/>
          <w:color w:val="202A34"/>
          <w:sz w:val="19"/>
        </w:rPr>
        <w:t>A month and year selector drives a daily attendance grid for active employees.</w:t>
      </w:r>
    </w:p>
    <w:p>
      <w:pPr>
        <w:pStyle w:val="ListBullet"/>
      </w:pPr>
      <w:r>
        <w:rPr>
          <w:rFonts w:ascii="Aptos" w:hAnsi="Aptos"/>
          <w:b w:val="0"/>
          <w:i w:val="0"/>
          <w:color w:val="202A34"/>
          <w:sz w:val="19"/>
        </w:rPr>
        <w:t>Attendance statuses can be changed in the grid and saved to Salesforce.</w:t>
      </w:r>
    </w:p>
    <w:p>
      <w:pPr>
        <w:pStyle w:val="ListBullet"/>
      </w:pPr>
      <w:r>
        <w:rPr>
          <w:rFonts w:ascii="Aptos" w:hAnsi="Aptos"/>
          <w:b w:val="0"/>
          <w:i w:val="0"/>
          <w:color w:val="202A34"/>
          <w:sz w:val="19"/>
        </w:rPr>
        <w:t>The table summarizes WFH, WFO and absence for the selected month, with a year-to-date Leave count and balance.</w:t>
      </w:r>
    </w:p>
    <w:p>
      <w:pPr>
        <w:pStyle w:val="ListBullet"/>
      </w:pPr>
      <w:r>
        <w:rPr>
          <w:rFonts w:ascii="Aptos" w:hAnsi="Aptos"/>
          <w:b w:val="0"/>
          <w:i w:val="0"/>
          <w:color w:val="202A34"/>
          <w:sz w:val="19"/>
        </w:rPr>
        <w:t>Holidays and weekends receive default display statuses when no attendance record exists.</w:t>
      </w:r>
    </w:p>
    <w:p>
      <w:r>
        <w:br w:type="page"/>
      </w:r>
    </w:p>
    <w:p>
      <w:pPr>
        <w:pStyle w:val="Heading1"/>
      </w:pPr>
      <w:r>
        <w:t>Application architecture</w:t>
      </w:r>
    </w:p>
    <w:p>
      <w:pPr/>
      <w:r>
        <w:rPr>
          <w:rFonts w:ascii="Aptos" w:hAnsi="Aptos"/>
          <w:b w:val="0"/>
          <w:i w:val="0"/>
          <w:color w:val="202A34"/>
          <w:sz w:val="20"/>
        </w:rPr>
        <w:t>The LWC owns the interactive grid. It calls AttendanceController for records and writes. The controller runs SOQL and DML against records in the Salesforce org; this project does not connect to a separate SQL database.</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10080"/>
      </w:tblGrid>
      <w:tr>
        <w:trPr>
          <w:cantSplit/>
        </w:trPr>
        <w:tc>
          <w:tcPr>
            <w:tcW w:type="dxa" w:w="10080"/>
            <w:shd w:fill="EAF2F8"/>
            <w:tcMar>
              <w:top w:w="90" w:type="dxa"/>
              <w:start w:w="140" w:type="dxa"/>
              <w:bottom w:w="90" w:type="dxa"/>
              <w:end w:w="140" w:type="dxa"/>
            </w:tcMar>
          </w:tcPr>
          <w:p>
            <w:pPr>
              <w:spacing w:after="40"/>
            </w:pPr>
            <w:r/>
            <w:r>
              <w:rPr>
                <w:rFonts w:ascii="Aptos" w:hAnsi="Aptos"/>
                <w:b/>
                <w:i w:val="0"/>
                <w:color w:val="15304B"/>
                <w:sz w:val="20"/>
              </w:rPr>
              <w:t>1  Lightning Experience page</w:t>
            </w:r>
          </w:p>
          <w:p>
            <w:pPr>
              <w:spacing w:after="0"/>
            </w:pPr>
            <w:r>
              <w:rPr>
                <w:rFonts w:ascii="Aptos" w:hAnsi="Aptos"/>
                <w:b w:val="0"/>
                <w:i w:val="0"/>
                <w:color w:val="202A34"/>
                <w:sz w:val="18"/>
              </w:rPr>
              <w:t>The component metadata exposes attendanceMonthlyView on Home Page and App Page targets.</w:t>
            </w:r>
          </w:p>
        </w:tc>
      </w:tr>
      <w:tr>
        <w:trPr>
          <w:cantSplit/>
        </w:trPr>
        <w:tc>
          <w:tcPr>
            <w:tcW w:type="dxa" w:w="10080"/>
            <w:shd w:fill="FFFFFF"/>
            <w:vAlign w:val="center"/>
            <w:tcMar>
              <w:top w:w="90" w:type="dxa"/>
              <w:start w:w="100" w:type="dxa"/>
              <w:bottom w:w="90" w:type="dxa"/>
              <w:end w:w="100" w:type="dxa"/>
            </w:tcMar>
          </w:tcPr>
          <w:p>
            <w:pPr>
              <w:spacing w:after="0" w:line="240" w:lineRule="auto"/>
              <w:jc w:val="center"/>
            </w:pPr>
            <w:r/>
            <w:r>
              <w:rPr>
                <w:rFonts w:ascii="Aptos" w:hAnsi="Aptos"/>
                <w:b w:val="0"/>
                <w:i w:val="0"/>
                <w:color w:val="2A7F83"/>
                <w:sz w:val="17"/>
              </w:rPr>
              <w:t>↓  The page hosts the LWC.</w:t>
            </w:r>
          </w:p>
        </w:tc>
      </w:tr>
      <w:tr>
        <w:trPr>
          <w:cantSplit/>
        </w:trPr>
        <w:tc>
          <w:tcPr>
            <w:tcW w:type="dxa" w:w="10080"/>
            <w:shd w:fill="EAF2F8"/>
            <w:tcMar>
              <w:top w:w="90" w:type="dxa"/>
              <w:start w:w="140" w:type="dxa"/>
              <w:bottom w:w="90" w:type="dxa"/>
              <w:end w:w="140" w:type="dxa"/>
            </w:tcMar>
          </w:tcPr>
          <w:p>
            <w:pPr>
              <w:spacing w:after="40"/>
            </w:pPr>
            <w:r/>
            <w:r>
              <w:rPr>
                <w:rFonts w:ascii="Aptos" w:hAnsi="Aptos"/>
                <w:b/>
                <w:i w:val="0"/>
                <w:color w:val="15304B"/>
                <w:sz w:val="20"/>
              </w:rPr>
              <w:t>2  attendanceMonthlyView</w:t>
            </w:r>
          </w:p>
          <w:p>
            <w:pPr>
              <w:spacing w:after="0"/>
            </w:pPr>
            <w:r>
              <w:rPr>
                <w:rFonts w:ascii="Aptos" w:hAnsi="Aptos"/>
                <w:b w:val="0"/>
                <w:i w:val="0"/>
                <w:color w:val="202A34"/>
                <w:sz w:val="18"/>
              </w:rPr>
              <w:t>Builds the calendar grid, displays attendance, calculates summaries and handles status edits.</w:t>
            </w:r>
          </w:p>
        </w:tc>
      </w:tr>
      <w:tr>
        <w:trPr>
          <w:cantSplit/>
        </w:trPr>
        <w:tc>
          <w:tcPr>
            <w:tcW w:type="dxa" w:w="10080"/>
            <w:shd w:fill="FFFFFF"/>
            <w:vAlign w:val="center"/>
            <w:tcMar>
              <w:top w:w="90" w:type="dxa"/>
              <w:start w:w="100" w:type="dxa"/>
              <w:bottom w:w="90" w:type="dxa"/>
              <w:end w:w="100" w:type="dxa"/>
            </w:tcMar>
          </w:tcPr>
          <w:p>
            <w:pPr>
              <w:spacing w:after="0" w:line="240" w:lineRule="auto"/>
              <w:jc w:val="center"/>
            </w:pPr>
            <w:r/>
            <w:r>
              <w:rPr>
                <w:rFonts w:ascii="Aptos" w:hAnsi="Aptos"/>
                <w:b w:val="0"/>
                <w:i w:val="0"/>
                <w:color w:val="2A7F83"/>
                <w:sz w:val="17"/>
              </w:rPr>
              <w:t>↓  The LWC calls @AuraEnabled Apex methods.</w:t>
            </w:r>
          </w:p>
        </w:tc>
      </w:tr>
      <w:tr>
        <w:trPr>
          <w:cantSplit/>
        </w:trPr>
        <w:tc>
          <w:tcPr>
            <w:tcW w:type="dxa" w:w="10080"/>
            <w:shd w:fill="EAF2F8"/>
            <w:tcMar>
              <w:top w:w="90" w:type="dxa"/>
              <w:start w:w="140" w:type="dxa"/>
              <w:bottom w:w="90" w:type="dxa"/>
              <w:end w:w="140" w:type="dxa"/>
            </w:tcMar>
          </w:tcPr>
          <w:p>
            <w:pPr>
              <w:spacing w:after="40"/>
            </w:pPr>
            <w:r/>
            <w:r>
              <w:rPr>
                <w:rFonts w:ascii="Aptos" w:hAnsi="Aptos"/>
                <w:b/>
                <w:i w:val="0"/>
                <w:color w:val="15304B"/>
                <w:sz w:val="20"/>
              </w:rPr>
              <w:t>3  AttendanceController</w:t>
            </w:r>
          </w:p>
          <w:p>
            <w:pPr>
              <w:spacing w:after="0"/>
            </w:pPr>
            <w:r>
              <w:rPr>
                <w:rFonts w:ascii="Aptos" w:hAnsi="Aptos"/>
                <w:b w:val="0"/>
                <w:i w:val="0"/>
                <w:color w:val="202A34"/>
                <w:sz w:val="18"/>
              </w:rPr>
              <w:t>Queries employee, attendance and holiday records; validates and saves attendance changes.</w:t>
            </w:r>
          </w:p>
        </w:tc>
      </w:tr>
      <w:tr>
        <w:trPr>
          <w:cantSplit/>
        </w:trPr>
        <w:tc>
          <w:tcPr>
            <w:tcW w:type="dxa" w:w="10080"/>
            <w:shd w:fill="FFFFFF"/>
            <w:vAlign w:val="center"/>
            <w:tcMar>
              <w:top w:w="90" w:type="dxa"/>
              <w:start w:w="100" w:type="dxa"/>
              <w:bottom w:w="90" w:type="dxa"/>
              <w:end w:w="100" w:type="dxa"/>
            </w:tcMar>
          </w:tcPr>
          <w:p>
            <w:pPr>
              <w:spacing w:after="0" w:line="240" w:lineRule="auto"/>
              <w:jc w:val="center"/>
            </w:pPr>
            <w:r/>
            <w:r>
              <w:rPr>
                <w:rFonts w:ascii="Aptos" w:hAnsi="Aptos"/>
                <w:b w:val="0"/>
                <w:i w:val="0"/>
                <w:color w:val="2A7F83"/>
                <w:sz w:val="17"/>
              </w:rPr>
              <w:t>↓  SOQL reads and DML writes target Salesforce custom objects.</w:t>
            </w:r>
          </w:p>
        </w:tc>
      </w:tr>
      <w:tr>
        <w:trPr>
          <w:cantSplit/>
        </w:trPr>
        <w:tc>
          <w:tcPr>
            <w:tcW w:type="dxa" w:w="10080"/>
            <w:shd w:fill="EAF2F8"/>
            <w:tcMar>
              <w:top w:w="90" w:type="dxa"/>
              <w:start w:w="140" w:type="dxa"/>
              <w:bottom w:w="90" w:type="dxa"/>
              <w:end w:w="140" w:type="dxa"/>
            </w:tcMar>
          </w:tcPr>
          <w:p>
            <w:pPr>
              <w:spacing w:after="40"/>
            </w:pPr>
            <w:r/>
            <w:r>
              <w:rPr>
                <w:rFonts w:ascii="Aptos" w:hAnsi="Aptos"/>
                <w:b/>
                <w:i w:val="0"/>
                <w:color w:val="15304B"/>
                <w:sz w:val="20"/>
              </w:rPr>
              <w:t>4  Salesforce org data</w:t>
            </w:r>
          </w:p>
          <w:p>
            <w:pPr>
              <w:spacing w:after="0"/>
            </w:pPr>
            <w:r>
              <w:rPr>
                <w:rFonts w:ascii="Aptos" w:hAnsi="Aptos"/>
                <w:b w:val="0"/>
                <w:i w:val="0"/>
                <w:color w:val="202A34"/>
                <w:sz w:val="18"/>
              </w:rPr>
              <w:t>Employee__c, Attendance__c and Holiday__c records are stored in the connected Salesforce org.</w:t>
            </w:r>
          </w:p>
        </w:tc>
      </w:tr>
    </w:tbl>
    <w:p/>
    <w:p>
      <w:pPr>
        <w:pStyle w:val="Heading1"/>
      </w:pPr>
      <w:r>
        <w:t>Lightning Web Component</w:t>
      </w:r>
    </w:p>
    <w:p>
      <w:pPr/>
      <w:r>
        <w:rPr>
          <w:rFonts w:ascii="Aptos" w:hAnsi="Aptos"/>
          <w:b w:val="0"/>
          <w:i w:val="0"/>
          <w:color w:val="202A34"/>
          <w:sz w:val="20"/>
        </w:rPr>
        <w:t>The component source is under force-app/main/default/lwc/attendanceMonthlyView. Its HTML defines the filters, legend, sticky date header and employee rows. Its JavaScript loads data and prepares each cell. Its CSS controls the wide scrollable grid, fixed employee column and sticky summary area.</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3528"/>
        <w:gridCol w:w="6552"/>
      </w:tblGrid>
      <w:tr>
        <w:trPr>
          <w:tblHeader w:val="true"/>
          <w:cantSplit/>
        </w:trPr>
        <w:tc>
          <w:tcPr>
            <w:tcW w:type="dxa" w:w="3528"/>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File</w:t>
            </w:r>
          </w:p>
        </w:tc>
        <w:tc>
          <w:tcPr>
            <w:tcW w:type="dxa" w:w="6552"/>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Responsibility</w:t>
            </w:r>
          </w:p>
        </w:tc>
      </w:tr>
      <w:tr>
        <w:trPr>
          <w:cantSplit/>
        </w:trPr>
        <w:tc>
          <w:tcPr>
            <w:tcW w:type="dxa" w:w="3528"/>
            <w:vAlign w:val="center"/>
            <w:tcMar>
              <w:top w:w="90" w:type="dxa"/>
              <w:start w:w="100" w:type="dxa"/>
              <w:bottom w:w="90" w:type="dxa"/>
              <w:end w:w="100" w:type="dxa"/>
            </w:tcMar>
          </w:tcPr>
          <w:p>
            <w:pPr>
              <w:spacing w:after="0" w:line="240" w:lineRule="auto"/>
            </w:pPr>
            <w:r/>
            <w:r>
              <w:rPr>
                <w:rFonts w:ascii="Aptos" w:hAnsi="Aptos"/>
                <w:b w:val="0"/>
                <w:i w:val="0"/>
                <w:color w:val="202A34"/>
                <w:sz w:val="17"/>
              </w:rPr>
              <w:t>attendanceMonthlyView.html</w:t>
            </w:r>
          </w:p>
        </w:tc>
        <w:tc>
          <w:tcPr>
            <w:tcW w:type="dxa" w:w="6552"/>
            <w:vAlign w:val="center"/>
            <w:tcMar>
              <w:top w:w="90" w:type="dxa"/>
              <w:start w:w="100" w:type="dxa"/>
              <w:bottom w:w="90" w:type="dxa"/>
              <w:end w:w="100" w:type="dxa"/>
            </w:tcMar>
          </w:tcPr>
          <w:p>
            <w:pPr>
              <w:spacing w:after="0" w:line="240" w:lineRule="auto"/>
            </w:pPr>
            <w:r/>
            <w:r>
              <w:rPr>
                <w:rFonts w:ascii="Aptos" w:hAnsi="Aptos"/>
                <w:b w:val="0"/>
                <w:i w:val="0"/>
                <w:color w:val="202A34"/>
                <w:sz w:val="17"/>
              </w:rPr>
              <w:t>Month/year comboboxes, status legend, day columns, per-employee rows and WFH/WFO/Absent/Leave/Allocated/Remaining summaries.</w:t>
            </w:r>
          </w:p>
        </w:tc>
      </w:tr>
      <w:tr>
        <w:trPr>
          <w:cantSplit/>
        </w:trPr>
        <w:tc>
          <w:tcPr>
            <w:tcW w:type="dxa" w:w="352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attendanceMonthlyView.js</w:t>
            </w:r>
          </w:p>
        </w:tc>
        <w:tc>
          <w:tcPr>
            <w:tcW w:type="dxa" w:w="6552"/>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Apex imports, month/day generation, data loading, status menus, summary counts, optimistic saves and rollback.</w:t>
            </w:r>
          </w:p>
        </w:tc>
      </w:tr>
      <w:tr>
        <w:trPr>
          <w:cantSplit/>
        </w:trPr>
        <w:tc>
          <w:tcPr>
            <w:tcW w:type="dxa" w:w="3528"/>
            <w:vAlign w:val="center"/>
            <w:tcMar>
              <w:top w:w="90" w:type="dxa"/>
              <w:start w:w="100" w:type="dxa"/>
              <w:bottom w:w="90" w:type="dxa"/>
              <w:end w:w="100" w:type="dxa"/>
            </w:tcMar>
          </w:tcPr>
          <w:p>
            <w:pPr>
              <w:spacing w:after="0" w:line="240" w:lineRule="auto"/>
            </w:pPr>
            <w:r/>
            <w:r>
              <w:rPr>
                <w:rFonts w:ascii="Aptos" w:hAnsi="Aptos"/>
                <w:b w:val="0"/>
                <w:i w:val="0"/>
                <w:color w:val="202A34"/>
                <w:sz w:val="17"/>
              </w:rPr>
              <w:t>attendanceMonthlyView.css</w:t>
            </w:r>
          </w:p>
        </w:tc>
        <w:tc>
          <w:tcPr>
            <w:tcW w:type="dxa" w:w="6552"/>
            <w:vAlign w:val="center"/>
            <w:tcMar>
              <w:top w:w="90" w:type="dxa"/>
              <w:start w:w="100" w:type="dxa"/>
              <w:bottom w:w="90" w:type="dxa"/>
              <w:end w:w="100" w:type="dxa"/>
            </w:tcMar>
          </w:tcPr>
          <w:p>
            <w:pPr>
              <w:spacing w:after="0" w:line="240" w:lineRule="auto"/>
            </w:pPr>
            <w:r/>
            <w:r>
              <w:rPr>
                <w:rFonts w:ascii="Aptos" w:hAnsi="Aptos"/>
                <w:b w:val="0"/>
                <w:i w:val="0"/>
                <w:color w:val="202A34"/>
                <w:sz w:val="17"/>
              </w:rPr>
              <w:t>Table sizing, horizontal scrolling, sticky employee and header areas, status colors and summary column widths.</w:t>
            </w:r>
          </w:p>
        </w:tc>
      </w:tr>
      <w:tr>
        <w:trPr>
          <w:cantSplit/>
        </w:trPr>
        <w:tc>
          <w:tcPr>
            <w:tcW w:type="dxa" w:w="352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attendanceMonthlyView.js-meta.xml</w:t>
            </w:r>
          </w:p>
        </w:tc>
        <w:tc>
          <w:tcPr>
            <w:tcW w:type="dxa" w:w="6552"/>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Exposes the component on lightning__HomePage and lightning__AppPage. API version 67.0.</w:t>
            </w:r>
          </w:p>
        </w:tc>
      </w:tr>
    </w:tbl>
    <w:p>
      <w:pPr>
        <w:spacing w:after="20"/>
      </w:pPr>
    </w:p>
    <w:p>
      <w:pPr>
        <w:pStyle w:val="Heading2"/>
      </w:pPr>
      <w:r>
        <w:t>Screen and status behavior</w:t>
      </w:r>
    </w:p>
    <w:p>
      <w:pPr/>
      <w:r>
        <w:rPr>
          <w:rFonts w:ascii="Aptos" w:hAnsi="Aptos"/>
          <w:b w:val="0"/>
          <w:i w:val="0"/>
          <w:color w:val="202A34"/>
          <w:sz w:val="20"/>
        </w:rPr>
        <w:t>The month selector controls the number of day columns. Each cell offers Pending, Office, Home, Absent, Weekly Off, Leave and Holiday. These labels map to stored status values None, WFO, WFH, Absent, Weekly_Off, Leave and Holiday.</w:t>
      </w:r>
    </w:p>
    <w:p>
      <w:pPr/>
      <w:r>
        <w:rPr>
          <w:rFonts w:ascii="Aptos" w:hAnsi="Aptos"/>
          <w:b w:val="0"/>
          <w:i w:val="0"/>
          <w:color w:val="202A34"/>
          <w:sz w:val="20"/>
        </w:rPr>
        <w:t>If a date has no Attendance__c record, the component displays Holiday for an active holiday, Weekly Off for Saturday or Sunday, and an empty/pending cell otherwise. An existing attendance status takes precedence. Legacy LOP records display and count as Absent.</w:t>
      </w:r>
    </w:p>
    <w:p>
      <w:r>
        <w:br w:type="page"/>
      </w:r>
    </w:p>
    <w:p>
      <w:pPr>
        <w:pStyle w:val="Heading1"/>
      </w:pPr>
      <w:r>
        <w:t>Apex service</w:t>
      </w:r>
    </w:p>
    <w:p>
      <w:pPr/>
      <w:r>
        <w:rPr>
          <w:rFonts w:ascii="Aptos" w:hAnsi="Aptos"/>
          <w:b w:val="0"/>
          <w:i w:val="0"/>
          <w:color w:val="202A34"/>
          <w:sz w:val="20"/>
        </w:rPr>
        <w:t>AttendanceController is declared public with sharing. Four methods are cacheable reads; saveAttendance performs the write. The methods return Salesforce records directly to the LWC.</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3528"/>
        <w:gridCol w:w="2088"/>
        <w:gridCol w:w="4464"/>
      </w:tblGrid>
      <w:tr>
        <w:trPr>
          <w:tblHeader w:val="true"/>
          <w:cantSplit/>
        </w:trPr>
        <w:tc>
          <w:tcPr>
            <w:tcW w:type="dxa" w:w="3528"/>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Method</w:t>
            </w:r>
          </w:p>
        </w:tc>
        <w:tc>
          <w:tcPr>
            <w:tcW w:type="dxa" w:w="2088"/>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Reads or writes</w:t>
            </w:r>
          </w:p>
        </w:tc>
        <w:tc>
          <w:tcPr>
            <w:tcW w:type="dxa" w:w="4464"/>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Behavior</w:t>
            </w:r>
          </w:p>
        </w:tc>
      </w:tr>
      <w:tr>
        <w:trPr>
          <w:cantSplit/>
        </w:trPr>
        <w:tc>
          <w:tcPr>
            <w:tcW w:type="dxa" w:w="3528"/>
            <w:vAlign w:val="center"/>
            <w:tcMar>
              <w:top w:w="90" w:type="dxa"/>
              <w:start w:w="100" w:type="dxa"/>
              <w:bottom w:w="90" w:type="dxa"/>
              <w:end w:w="100" w:type="dxa"/>
            </w:tcMar>
          </w:tcPr>
          <w:p>
            <w:pPr>
              <w:spacing w:after="0" w:line="240" w:lineRule="auto"/>
            </w:pPr>
            <w:r/>
            <w:r>
              <w:rPr>
                <w:rFonts w:ascii="Aptos" w:hAnsi="Aptos"/>
                <w:b w:val="0"/>
                <w:i w:val="0"/>
                <w:color w:val="202A34"/>
                <w:sz w:val="16"/>
              </w:rPr>
              <w:t>getActiveEmployees()</w:t>
            </w:r>
          </w:p>
        </w:tc>
        <w:tc>
          <w:tcPr>
            <w:tcW w:type="dxa" w:w="2088"/>
            <w:vAlign w:val="center"/>
            <w:tcMar>
              <w:top w:w="90" w:type="dxa"/>
              <w:start w:w="100" w:type="dxa"/>
              <w:bottom w:w="90" w:type="dxa"/>
              <w:end w:w="100" w:type="dxa"/>
            </w:tcMar>
          </w:tcPr>
          <w:p>
            <w:pPr>
              <w:spacing w:after="0" w:line="240" w:lineRule="auto"/>
            </w:pPr>
            <w:r/>
            <w:r>
              <w:rPr>
                <w:rFonts w:ascii="Aptos" w:hAnsi="Aptos"/>
                <w:b w:val="0"/>
                <w:i w:val="0"/>
                <w:color w:val="202A34"/>
                <w:sz w:val="16"/>
              </w:rPr>
              <w:t>Employee__c read</w:t>
            </w:r>
          </w:p>
        </w:tc>
        <w:tc>
          <w:tcPr>
            <w:tcW w:type="dxa" w:w="4464"/>
            <w:vAlign w:val="center"/>
            <w:tcMar>
              <w:top w:w="90" w:type="dxa"/>
              <w:start w:w="100" w:type="dxa"/>
              <w:bottom w:w="90" w:type="dxa"/>
              <w:end w:w="100" w:type="dxa"/>
            </w:tcMar>
          </w:tcPr>
          <w:p>
            <w:pPr>
              <w:spacing w:after="0" w:line="240" w:lineRule="auto"/>
            </w:pPr>
            <w:r/>
            <w:r>
              <w:rPr>
                <w:rFonts w:ascii="Aptos" w:hAnsi="Aptos"/>
                <w:b w:val="0"/>
                <w:i w:val="0"/>
                <w:color w:val="202A34"/>
                <w:sz w:val="16"/>
              </w:rPr>
              <w:t>Returns Id and Name for Active__c = TRUE, sorted by Name.</w:t>
            </w:r>
          </w:p>
        </w:tc>
      </w:tr>
      <w:tr>
        <w:trPr>
          <w:cantSplit/>
        </w:trPr>
        <w:tc>
          <w:tcPr>
            <w:tcW w:type="dxa" w:w="352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getMonthlyAttendance(month, year)</w:t>
            </w:r>
          </w:p>
        </w:tc>
        <w:tc>
          <w:tcPr>
            <w:tcW w:type="dxa" w:w="208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Attendance__c read</w:t>
            </w:r>
          </w:p>
        </w:tc>
        <w:tc>
          <w:tcPr>
            <w:tcW w:type="dxa" w:w="446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Returns records dated within the selected month, including employee, date, status and remarks fields.</w:t>
            </w:r>
          </w:p>
        </w:tc>
      </w:tr>
      <w:tr>
        <w:trPr>
          <w:cantSplit/>
        </w:trPr>
        <w:tc>
          <w:tcPr>
            <w:tcW w:type="dxa" w:w="3528"/>
            <w:vAlign w:val="center"/>
            <w:tcMar>
              <w:top w:w="90" w:type="dxa"/>
              <w:start w:w="100" w:type="dxa"/>
              <w:bottom w:w="90" w:type="dxa"/>
              <w:end w:w="100" w:type="dxa"/>
            </w:tcMar>
          </w:tcPr>
          <w:p>
            <w:pPr>
              <w:spacing w:after="0" w:line="240" w:lineRule="auto"/>
            </w:pPr>
            <w:r/>
            <w:r>
              <w:rPr>
                <w:rFonts w:ascii="Aptos" w:hAnsi="Aptos"/>
                <w:b w:val="0"/>
                <w:i w:val="0"/>
                <w:color w:val="202A34"/>
                <w:sz w:val="16"/>
              </w:rPr>
              <w:t>getYearToDateLeaves(month, year)</w:t>
            </w:r>
          </w:p>
        </w:tc>
        <w:tc>
          <w:tcPr>
            <w:tcW w:type="dxa" w:w="2088"/>
            <w:vAlign w:val="center"/>
            <w:tcMar>
              <w:top w:w="90" w:type="dxa"/>
              <w:start w:w="100" w:type="dxa"/>
              <w:bottom w:w="90" w:type="dxa"/>
              <w:end w:w="100" w:type="dxa"/>
            </w:tcMar>
          </w:tcPr>
          <w:p>
            <w:pPr>
              <w:spacing w:after="0" w:line="240" w:lineRule="auto"/>
            </w:pPr>
            <w:r/>
            <w:r>
              <w:rPr>
                <w:rFonts w:ascii="Aptos" w:hAnsi="Aptos"/>
                <w:b w:val="0"/>
                <w:i w:val="0"/>
                <w:color w:val="202A34"/>
                <w:sz w:val="16"/>
              </w:rPr>
              <w:t>Attendance__c read</w:t>
            </w:r>
          </w:p>
        </w:tc>
        <w:tc>
          <w:tcPr>
            <w:tcW w:type="dxa" w:w="4464"/>
            <w:vAlign w:val="center"/>
            <w:tcMar>
              <w:top w:w="90" w:type="dxa"/>
              <w:start w:w="100" w:type="dxa"/>
              <w:bottom w:w="90" w:type="dxa"/>
              <w:end w:w="100" w:type="dxa"/>
            </w:tcMar>
          </w:tcPr>
          <w:p>
            <w:pPr>
              <w:spacing w:after="0" w:line="240" w:lineRule="auto"/>
            </w:pPr>
            <w:r/>
            <w:r>
              <w:rPr>
                <w:rFonts w:ascii="Aptos" w:hAnsi="Aptos"/>
                <w:b w:val="0"/>
                <w:i w:val="0"/>
                <w:color w:val="202A34"/>
                <w:sz w:val="16"/>
              </w:rPr>
              <w:t>Returns Leave-status records from January 1 through the last day of the selected month.</w:t>
            </w:r>
          </w:p>
        </w:tc>
      </w:tr>
      <w:tr>
        <w:trPr>
          <w:cantSplit/>
        </w:trPr>
        <w:tc>
          <w:tcPr>
            <w:tcW w:type="dxa" w:w="352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getMonthlyHolidays(month, year)</w:t>
            </w:r>
          </w:p>
        </w:tc>
        <w:tc>
          <w:tcPr>
            <w:tcW w:type="dxa" w:w="208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Holiday__c read</w:t>
            </w:r>
          </w:p>
        </w:tc>
        <w:tc>
          <w:tcPr>
            <w:tcW w:type="dxa" w:w="446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Returns active holiday records whose Holiday_Date__c falls in the selected month.</w:t>
            </w:r>
          </w:p>
        </w:tc>
      </w:tr>
      <w:tr>
        <w:trPr>
          <w:cantSplit/>
        </w:trPr>
        <w:tc>
          <w:tcPr>
            <w:tcW w:type="dxa" w:w="3528"/>
            <w:vAlign w:val="center"/>
            <w:tcMar>
              <w:top w:w="90" w:type="dxa"/>
              <w:start w:w="100" w:type="dxa"/>
              <w:bottom w:w="90" w:type="dxa"/>
              <w:end w:w="100" w:type="dxa"/>
            </w:tcMar>
          </w:tcPr>
          <w:p>
            <w:pPr>
              <w:spacing w:after="0" w:line="240" w:lineRule="auto"/>
            </w:pPr>
            <w:r/>
            <w:r>
              <w:rPr>
                <w:rFonts w:ascii="Aptos" w:hAnsi="Aptos"/>
                <w:b w:val="0"/>
                <w:i w:val="0"/>
                <w:color w:val="202A34"/>
                <w:sz w:val="16"/>
              </w:rPr>
              <w:t>saveAttendance(employeeId, attendanceDate, status, remarks)</w:t>
            </w:r>
          </w:p>
        </w:tc>
        <w:tc>
          <w:tcPr>
            <w:tcW w:type="dxa" w:w="2088"/>
            <w:vAlign w:val="center"/>
            <w:tcMar>
              <w:top w:w="90" w:type="dxa"/>
              <w:start w:w="100" w:type="dxa"/>
              <w:bottom w:w="90" w:type="dxa"/>
              <w:end w:w="100" w:type="dxa"/>
            </w:tcMar>
          </w:tcPr>
          <w:p>
            <w:pPr>
              <w:spacing w:after="0" w:line="240" w:lineRule="auto"/>
            </w:pPr>
            <w:r/>
            <w:r>
              <w:rPr>
                <w:rFonts w:ascii="Aptos" w:hAnsi="Aptos"/>
                <w:b w:val="0"/>
                <w:i w:val="0"/>
                <w:color w:val="202A34"/>
                <w:sz w:val="16"/>
              </w:rPr>
              <w:t>Attendance__c write</w:t>
            </w:r>
          </w:p>
        </w:tc>
        <w:tc>
          <w:tcPr>
            <w:tcW w:type="dxa" w:w="4464"/>
            <w:vAlign w:val="center"/>
            <w:tcMar>
              <w:top w:w="90" w:type="dxa"/>
              <w:start w:w="100" w:type="dxa"/>
              <w:bottom w:w="90" w:type="dxa"/>
              <w:end w:w="100" w:type="dxa"/>
            </w:tcMar>
          </w:tcPr>
          <w:p>
            <w:pPr>
              <w:spacing w:after="0" w:line="240" w:lineRule="auto"/>
            </w:pPr>
            <w:r/>
            <w:r>
              <w:rPr>
                <w:rFonts w:ascii="Aptos" w:hAnsi="Aptos"/>
                <w:b w:val="0"/>
                <w:i w:val="0"/>
                <w:color w:val="202A34"/>
                <w:sz w:val="16"/>
              </w:rPr>
              <w:t>Validates required inputs and status. Updates an existing employee/date row or inserts a new row, then returns it.</w:t>
            </w:r>
          </w:p>
        </w:tc>
      </w:tr>
    </w:tbl>
    <w:p>
      <w:pPr>
        <w:spacing w:after="20"/>
      </w:pPr>
    </w:p>
    <w:p>
      <w:pPr>
        <w:pStyle w:val="Heading2"/>
      </w:pPr>
      <w:r>
        <w:t>Attendance save sequence</w:t>
      </w:r>
    </w:p>
    <w:p>
      <w:pPr>
        <w:pStyle w:val="ListNumber"/>
      </w:pPr>
      <w:r>
        <w:rPr>
          <w:rFonts w:ascii="Aptos" w:hAnsi="Aptos"/>
          <w:b w:val="0"/>
          <w:i w:val="0"/>
          <w:color w:val="202A34"/>
          <w:sz w:val="19"/>
        </w:rPr>
        <w:t>The LWC captures the selected employee, date and status.</w:t>
      </w:r>
    </w:p>
    <w:p>
      <w:pPr>
        <w:pStyle w:val="ListNumber"/>
      </w:pPr>
      <w:r>
        <w:rPr>
          <w:rFonts w:ascii="Aptos" w:hAnsi="Aptos"/>
          <w:b w:val="0"/>
          <w:i w:val="0"/>
          <w:color w:val="202A34"/>
          <w:sz w:val="19"/>
        </w:rPr>
        <w:t>It updates the visible row optimistically so counts change without waiting for the server.</w:t>
      </w:r>
    </w:p>
    <w:p>
      <w:pPr>
        <w:pStyle w:val="ListNumber"/>
      </w:pPr>
      <w:r>
        <w:rPr>
          <w:rFonts w:ascii="Aptos" w:hAnsi="Aptos"/>
          <w:b w:val="0"/>
          <w:i w:val="0"/>
          <w:color w:val="202A34"/>
          <w:sz w:val="19"/>
        </w:rPr>
        <w:t>The LWC calls saveAttendance with the employee ID, date, status and an empty remarks string.</w:t>
      </w:r>
    </w:p>
    <w:p>
      <w:pPr>
        <w:pStyle w:val="ListNumber"/>
      </w:pPr>
      <w:r>
        <w:rPr>
          <w:rFonts w:ascii="Aptos" w:hAnsi="Aptos"/>
          <w:b w:val="0"/>
          <w:i w:val="0"/>
          <w:color w:val="202A34"/>
          <w:sz w:val="19"/>
        </w:rPr>
        <w:t>Apex searches for an existing Attendance__c row for that employee and date. It updates the row if found; otherwise, it inserts one.</w:t>
      </w:r>
    </w:p>
    <w:p>
      <w:pPr>
        <w:pStyle w:val="ListNumber"/>
      </w:pPr>
      <w:r>
        <w:rPr>
          <w:rFonts w:ascii="Aptos" w:hAnsi="Aptos"/>
          <w:b w:val="0"/>
          <w:i w:val="0"/>
          <w:color w:val="202A34"/>
          <w:sz w:val="19"/>
        </w:rPr>
        <w:t>On success, the saved record replaces the optimistic copy. On failure, the LWC restores its previous records and displays an error toast.</w:t>
      </w:r>
    </w:p>
    <w:tbl>
      <w:tblPr>
        <w:tblW w:type="auto" w:w="0"/>
        <w:jc w:val="center"/>
        <w:tblLayout w:type="fixed"/>
        <w:tblLook w:firstColumn="1" w:firstRow="1" w:lastColumn="0" w:lastRow="0" w:noHBand="0" w:noVBand="1" w:val="04A0"/>
        <w:tblBorders>
          <w:top w:val="single" w:sz="0" w:space="0" w:color="E8F3F2"/>
          <w:left w:val="single" w:sz="0" w:space="0" w:color="E8F3F2"/>
          <w:bottom w:val="single" w:sz="0" w:space="0" w:color="E8F3F2"/>
          <w:right w:val="single" w:sz="0" w:space="0" w:color="E8F3F2"/>
          <w:insideH w:val="single" w:sz="0" w:space="0" w:color="E8F3F2"/>
          <w:insideV w:val="single" w:sz="0" w:space="0" w:color="E8F3F2"/>
        </w:tblBorders>
      </w:tblPr>
      <w:tblGrid>
        <w:gridCol w:w="10080"/>
      </w:tblGrid>
      <w:tr>
        <w:tc>
          <w:tcPr>
            <w:tcW w:type="dxa" w:w="10166"/>
            <w:shd w:fill="E8F3F2"/>
            <w:tcMar>
              <w:top w:w="150" w:type="dxa"/>
              <w:start w:w="180" w:type="dxa"/>
              <w:bottom w:w="150" w:type="dxa"/>
              <w:end w:w="180" w:type="dxa"/>
            </w:tcMar>
          </w:tcPr>
          <w:p>
            <w:pPr>
              <w:spacing w:after="60"/>
            </w:pPr>
            <w:r>
              <w:rPr>
                <w:rFonts w:ascii="Aptos" w:hAnsi="Aptos"/>
                <w:b/>
                <w:i w:val="0"/>
                <w:color w:val="2A7F83"/>
                <w:sz w:val="20"/>
              </w:rPr>
              <w:t>Accepted status values in Apex</w:t>
            </w:r>
          </w:p>
          <w:p>
            <w:pPr>
              <w:spacing w:after="0" w:line="252" w:lineRule="auto"/>
            </w:pPr>
            <w:r>
              <w:rPr>
                <w:rFonts w:ascii="Aptos" w:hAnsi="Aptos"/>
                <w:b w:val="0"/>
                <w:i w:val="0"/>
                <w:color w:val="202A34"/>
                <w:sz w:val="19"/>
              </w:rPr>
              <w:t>None, Absent, WFO, WFH, Weekly_Off, Leave and Holiday. The UI labels Office and Home correspond to WFO and WFH. The component can display legacy LOP as Absent, but saveAttendance does not accept LOP.</w:t>
            </w:r>
          </w:p>
        </w:tc>
      </w:tr>
    </w:tbl>
    <w:p>
      <w:pPr>
        <w:spacing w:after="20"/>
      </w:pPr>
    </w:p>
    <w:p>
      <w:pPr>
        <w:pStyle w:val="Heading2"/>
      </w:pPr>
      <w:r>
        <w:t>Load behavior</w:t>
      </w:r>
    </w:p>
    <w:p>
      <w:pPr/>
      <w:r>
        <w:rPr>
          <w:rFonts w:ascii="Aptos" w:hAnsi="Aptos"/>
          <w:b w:val="0"/>
          <w:i w:val="0"/>
          <w:color w:val="202A34"/>
          <w:sz w:val="20"/>
        </w:rPr>
        <w:t>On initialization and whenever the month or year changes, the LWC requests active employees, monthly attendance, monthly holidays and year-to-date Leave records together. A request counter prevents a slower response for an earlier selection from replacing the currently selected month. A spinner indicates loading; errors are shown in a toast.</w:t>
      </w:r>
    </w:p>
    <w:p>
      <w:r>
        <w:br w:type="page"/>
      </w:r>
    </w:p>
    <w:p>
      <w:pPr>
        <w:pStyle w:val="Heading1"/>
      </w:pPr>
      <w:r>
        <w:t>Salesforce data model</w:t>
      </w:r>
    </w:p>
    <w:tbl>
      <w:tblPr>
        <w:tblW w:type="auto" w:w="0"/>
        <w:jc w:val="center"/>
        <w:tblLayout w:type="fixed"/>
        <w:tblLook w:firstColumn="1" w:firstRow="1" w:lastColumn="0" w:lastRow="0" w:noHBand="0" w:noVBand="1" w:val="04A0"/>
        <w:tblBorders>
          <w:top w:val="single" w:sz="0" w:space="0" w:color="FFF3E8"/>
          <w:left w:val="single" w:sz="0" w:space="0" w:color="FFF3E8"/>
          <w:bottom w:val="single" w:sz="0" w:space="0" w:color="FFF3E8"/>
          <w:right w:val="single" w:sz="0" w:space="0" w:color="FFF3E8"/>
          <w:insideH w:val="single" w:sz="0" w:space="0" w:color="FFF3E8"/>
          <w:insideV w:val="single" w:sz="0" w:space="0" w:color="FFF3E8"/>
        </w:tblBorders>
      </w:tblPr>
      <w:tblGrid>
        <w:gridCol w:w="10080"/>
      </w:tblGrid>
      <w:tr>
        <w:tc>
          <w:tcPr>
            <w:tcW w:type="dxa" w:w="10166"/>
            <w:shd w:fill="FFF3E8"/>
            <w:tcMar>
              <w:top w:w="150" w:type="dxa"/>
              <w:start w:w="180" w:type="dxa"/>
              <w:bottom w:w="150" w:type="dxa"/>
              <w:end w:w="180" w:type="dxa"/>
            </w:tcMar>
          </w:tcPr>
          <w:p>
            <w:pPr>
              <w:spacing w:after="40"/>
            </w:pPr>
            <w:r/>
            <w:r>
              <w:rPr>
                <w:rFonts w:ascii="Aptos" w:hAnsi="Aptos"/>
                <w:b w:val="0"/>
                <w:i w:val="0"/>
                <w:color w:val="243247"/>
                <w:sz w:val="17"/>
              </w:rPr>
              <w:t>Retrieved Salesforce object metadata is present in this working tree under force-app/main/default/objects. It defines Employee__c, Attendance__c and Holiday__c, including object settings, fields and list views. The files describe schema, not employee or attendance record rows; no CSV/JSON row export was found in the project. Actual records remain in the Salesforce org unless separately exported. The current manifest/package.xml has no CustomObject entry, and git status shows the object source folders as untracked. .forceignore does not exclude these objects.</w:t>
            </w:r>
          </w:p>
        </w:tc>
      </w:tr>
    </w:tbl>
    <w:p>
      <w:pPr>
        <w:spacing w:after="20"/>
      </w:pPr>
    </w:p>
    <w:p>
      <w:pPr/>
      <w:r>
        <w:rPr>
          <w:rFonts w:ascii="Aptos" w:hAnsi="Aptos"/>
          <w:b w:val="0"/>
          <w:i w:val="0"/>
          <w:color w:val="243247"/>
          <w:sz w:val="19"/>
        </w:rPr>
        <w:t>Salesforce is the system of record. The local project contains the retrieved object and field definitions for Employee__c, Attendance__c and Holiday__c, alongside the Apex and LWC source. Those XML files describe the database schema; they are not a copy of the employee or attendance record rows. A search of the project found no CSV/JSON row exports. The object folders are currently untracked, and manifest/package.xml omits CustomObject, so the selective deployment command below does not deploy object metadata.</w:t>
      </w:r>
    </w:p>
    <w:p>
      <w:pPr>
        <w:pStyle w:val="Heading2"/>
      </w:pPr>
      <w:r>
        <w:t>Objects used by the application</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2088"/>
        <w:gridCol w:w="4392"/>
        <w:gridCol w:w="3600"/>
      </w:tblGrid>
      <w:tr>
        <w:trPr>
          <w:tblHeader w:val="true"/>
          <w:cantSplit/>
        </w:trPr>
        <w:tc>
          <w:tcPr>
            <w:tcW w:type="dxa" w:w="2088"/>
            <w:shd w:fill="15304B"/>
            <w:vAlign w:val="center"/>
            <w:tcMar>
              <w:top w:w="90" w:type="dxa"/>
              <w:start w:w="100" w:type="dxa"/>
              <w:bottom w:w="90" w:type="dxa"/>
              <w:end w:w="100" w:type="dxa"/>
            </w:tcMar>
          </w:tcPr>
          <w:p>
            <w:pPr>
              <w:spacing w:after="20" w:before="20"/>
            </w:pPr>
            <w:r/>
            <w:r>
              <w:rPr>
                <w:rFonts w:ascii="Aptos" w:hAnsi="Aptos"/>
                <w:b/>
                <w:i w:val="0"/>
                <w:color w:val="FFFFFF"/>
                <w:sz w:val="16"/>
              </w:rPr>
              <w:t>API name</w:t>
            </w:r>
          </w:p>
        </w:tc>
        <w:tc>
          <w:tcPr>
            <w:tcW w:type="dxa" w:w="4392"/>
            <w:shd w:fill="15304B"/>
            <w:vAlign w:val="center"/>
            <w:tcMar>
              <w:top w:w="90" w:type="dxa"/>
              <w:start w:w="100" w:type="dxa"/>
              <w:bottom w:w="90" w:type="dxa"/>
              <w:end w:w="100" w:type="dxa"/>
            </w:tcMar>
          </w:tcPr>
          <w:p>
            <w:pPr>
              <w:spacing w:after="20" w:before="20"/>
            </w:pPr>
            <w:r/>
            <w:r>
              <w:rPr>
                <w:rFonts w:ascii="Aptos" w:hAnsi="Aptos"/>
                <w:b/>
                <w:i w:val="0"/>
                <w:color w:val="FFFFFF"/>
                <w:sz w:val="16"/>
              </w:rPr>
              <w:t>Role and object settings</w:t>
            </w:r>
          </w:p>
        </w:tc>
        <w:tc>
          <w:tcPr>
            <w:tcW w:type="dxa" w:w="3600"/>
            <w:shd w:fill="15304B"/>
            <w:vAlign w:val="center"/>
            <w:tcMar>
              <w:top w:w="90" w:type="dxa"/>
              <w:start w:w="100" w:type="dxa"/>
              <w:bottom w:w="90" w:type="dxa"/>
              <w:end w:w="100" w:type="dxa"/>
            </w:tcMar>
          </w:tcPr>
          <w:p>
            <w:pPr>
              <w:spacing w:after="20" w:before="20"/>
            </w:pPr>
            <w:r/>
            <w:r>
              <w:rPr>
                <w:rFonts w:ascii="Aptos" w:hAnsi="Aptos"/>
                <w:b/>
                <w:i w:val="0"/>
                <w:color w:val="FFFFFF"/>
                <w:sz w:val="16"/>
              </w:rPr>
              <w:t>Relationship and key schema</w:t>
            </w:r>
          </w:p>
        </w:tc>
      </w:tr>
      <w:tr>
        <w:trPr>
          <w:cantSplit/>
        </w:trPr>
        <w:tc>
          <w:tcPr>
            <w:tcW w:type="dxa" w:w="2088"/>
            <w:vAlign w:val="center"/>
          </w:tcPr>
          <w:p>
            <w:pPr>
              <w:spacing w:after="20" w:before="20"/>
            </w:pPr>
            <w:r/>
            <w:r>
              <w:rPr>
                <w:rFonts w:ascii="Aptos" w:hAnsi="Aptos"/>
                <w:b w:val="0"/>
                <w:i w:val="0"/>
                <w:color w:val="243247"/>
                <w:sz w:val="16"/>
              </w:rPr>
              <w:t>Employee__c</w:t>
            </w:r>
          </w:p>
        </w:tc>
        <w:tc>
          <w:tcPr>
            <w:tcW w:type="dxa" w:w="4392"/>
            <w:vAlign w:val="center"/>
          </w:tcPr>
          <w:p>
            <w:pPr>
              <w:spacing w:after="20" w:before="20"/>
            </w:pPr>
            <w:r/>
            <w:r>
              <w:rPr>
                <w:rFonts w:ascii="Aptos" w:hAnsi="Aptos"/>
                <w:b w:val="0"/>
                <w:i w:val="0"/>
                <w:color w:val="243247"/>
                <w:sz w:val="16"/>
              </w:rPr>
              <w:t>Employee directory; label Employee (plural Employees). Name field is Text labeled Employee Name. ReadWrite sharing, external Private; reports/search enabled; field history disabled.</w:t>
            </w:r>
          </w:p>
        </w:tc>
        <w:tc>
          <w:tcPr>
            <w:tcW w:type="dxa" w:w="3600"/>
            <w:vAlign w:val="center"/>
          </w:tcPr>
          <w:p>
            <w:pPr>
              <w:spacing w:after="20" w:before="20"/>
            </w:pPr>
            <w:r/>
            <w:r>
              <w:rPr>
                <w:rFonts w:ascii="Aptos" w:hAnsi="Aptos"/>
                <w:b w:val="0"/>
                <w:i w:val="0"/>
                <w:color w:val="243247"/>
                <w:sz w:val="16"/>
              </w:rPr>
              <w:t>One Employee__c can have many Attendance__c rows through the required Attendance__c.Employee__c lookup. Employee_ID__c is required and unique (case-insensitive).</w:t>
            </w:r>
          </w:p>
        </w:tc>
      </w:tr>
      <w:tr>
        <w:trPr>
          <w:cantSplit/>
        </w:trPr>
        <w:tc>
          <w:tcPr>
            <w:tcW w:type="dxa" w:w="2088"/>
            <w:vAlign w:val="center"/>
          </w:tcPr>
          <w:p>
            <w:pPr>
              <w:spacing w:after="20" w:before="20"/>
            </w:pPr>
            <w:r/>
            <w:r>
              <w:rPr>
                <w:rFonts w:ascii="Aptos" w:hAnsi="Aptos"/>
                <w:b w:val="0"/>
                <w:i w:val="0"/>
                <w:color w:val="243247"/>
                <w:sz w:val="16"/>
              </w:rPr>
              <w:t>Attendance__c</w:t>
            </w:r>
          </w:p>
        </w:tc>
        <w:tc>
          <w:tcPr>
            <w:tcW w:type="dxa" w:w="4392"/>
            <w:vAlign w:val="center"/>
          </w:tcPr>
          <w:p>
            <w:pPr>
              <w:spacing w:after="20" w:before="20"/>
            </w:pPr>
            <w:r/>
            <w:r>
              <w:rPr>
                <w:rFonts w:ascii="Aptos" w:hAnsi="Aptos"/>
                <w:b w:val="0"/>
                <w:i w:val="0"/>
                <w:color w:val="243247"/>
                <w:sz w:val="16"/>
              </w:rPr>
              <w:t>Daily attendance record; label Attendance (plural Attendances). Name is Auto Number ATT-{00000}. ReadWrite sharing, external Private; reports/history enabled; search disabled.</w:t>
            </w:r>
          </w:p>
        </w:tc>
        <w:tc>
          <w:tcPr>
            <w:tcW w:type="dxa" w:w="3600"/>
            <w:vAlign w:val="center"/>
          </w:tcPr>
          <w:p>
            <w:pPr>
              <w:spacing w:after="20" w:before="20"/>
            </w:pPr>
            <w:r/>
            <w:r>
              <w:rPr>
                <w:rFonts w:ascii="Aptos" w:hAnsi="Aptos"/>
                <w:b w:val="0"/>
                <w:i w:val="0"/>
                <w:color w:val="243247"/>
                <w:sz w:val="16"/>
              </w:rPr>
              <w:t>Required lookup to Employee__c; delete constraint is Restrict. Required Attendance_Date__c and Status__c. Metadata does not enforce one row per employee/date.</w:t>
            </w:r>
          </w:p>
        </w:tc>
      </w:tr>
      <w:tr>
        <w:trPr>
          <w:cantSplit/>
        </w:trPr>
        <w:tc>
          <w:tcPr>
            <w:tcW w:type="dxa" w:w="2088"/>
            <w:vAlign w:val="center"/>
          </w:tcPr>
          <w:p>
            <w:pPr>
              <w:spacing w:after="20" w:before="20"/>
            </w:pPr>
            <w:r/>
            <w:r>
              <w:rPr>
                <w:rFonts w:ascii="Aptos" w:hAnsi="Aptos"/>
                <w:b w:val="0"/>
                <w:i w:val="0"/>
                <w:color w:val="243247"/>
                <w:sz w:val="16"/>
              </w:rPr>
              <w:t>Holiday__c</w:t>
            </w:r>
          </w:p>
        </w:tc>
        <w:tc>
          <w:tcPr>
            <w:tcW w:type="dxa" w:w="4392"/>
            <w:vAlign w:val="center"/>
          </w:tcPr>
          <w:p>
            <w:pPr>
              <w:spacing w:after="20" w:before="20"/>
            </w:pPr>
            <w:r/>
            <w:r>
              <w:rPr>
                <w:rFonts w:ascii="Aptos" w:hAnsi="Aptos"/>
                <w:b w:val="0"/>
                <w:i w:val="0"/>
                <w:color w:val="243247"/>
                <w:sz w:val="16"/>
              </w:rPr>
              <w:t>Company holiday calendar; label Holiday (plural Holidays). Name is Text labeled Holiday Name. ReadWrite sharing, external Private; reports/search/history enabled.</w:t>
            </w:r>
          </w:p>
        </w:tc>
        <w:tc>
          <w:tcPr>
            <w:tcW w:type="dxa" w:w="3600"/>
            <w:vAlign w:val="center"/>
          </w:tcPr>
          <w:p>
            <w:pPr>
              <w:spacing w:after="20" w:before="20"/>
            </w:pPr>
            <w:r/>
            <w:r>
              <w:rPr>
                <w:rFonts w:ascii="Aptos" w:hAnsi="Aptos"/>
                <w:b w:val="0"/>
                <w:i w:val="0"/>
                <w:color w:val="243247"/>
                <w:sz w:val="16"/>
              </w:rPr>
              <w:t>Standalone in this tracker. Required Holiday_Date__c and Description__c; Active__c defaults true.</w:t>
            </w:r>
          </w:p>
        </w:tc>
      </w:tr>
    </w:tbl>
    <w:p>
      <w:pPr>
        <w:spacing w:after="20"/>
      </w:pPr>
    </w:p>
    <w:p>
      <w:pPr>
        <w:pStyle w:val="Heading2"/>
      </w:pPr>
      <w:r>
        <w:t>Employee__c fields used</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2088"/>
        <w:gridCol w:w="4464"/>
        <w:gridCol w:w="3528"/>
      </w:tblGrid>
      <w:tr>
        <w:trPr>
          <w:tblHeader w:val="true"/>
          <w:cantSplit/>
        </w:trPr>
        <w:tc>
          <w:tcPr>
            <w:tcW w:type="dxa" w:w="2088"/>
            <w:shd w:fill="2F6690"/>
            <w:vAlign w:val="center"/>
            <w:tcMar>
              <w:top w:w="90" w:type="dxa"/>
              <w:start w:w="100" w:type="dxa"/>
              <w:bottom w:w="90" w:type="dxa"/>
              <w:end w:w="100" w:type="dxa"/>
            </w:tcMar>
          </w:tcPr>
          <w:p>
            <w:pPr>
              <w:spacing w:after="20" w:before="20"/>
            </w:pPr>
            <w:r/>
            <w:r>
              <w:rPr>
                <w:rFonts w:ascii="Aptos" w:hAnsi="Aptos"/>
                <w:b/>
                <w:i w:val="0"/>
                <w:color w:val="FFFFFF"/>
                <w:sz w:val="16"/>
              </w:rPr>
              <w:t>Field</w:t>
            </w:r>
          </w:p>
        </w:tc>
        <w:tc>
          <w:tcPr>
            <w:tcW w:type="dxa" w:w="4464"/>
            <w:shd w:fill="2F6690"/>
            <w:vAlign w:val="center"/>
            <w:tcMar>
              <w:top w:w="90" w:type="dxa"/>
              <w:start w:w="100" w:type="dxa"/>
              <w:bottom w:w="90" w:type="dxa"/>
              <w:end w:w="100" w:type="dxa"/>
            </w:tcMar>
          </w:tcPr>
          <w:p>
            <w:pPr>
              <w:spacing w:after="20" w:before="20"/>
            </w:pPr>
            <w:r/>
            <w:r>
              <w:rPr>
                <w:rFonts w:ascii="Aptos" w:hAnsi="Aptos"/>
                <w:b/>
                <w:i w:val="0"/>
                <w:color w:val="FFFFFF"/>
                <w:sz w:val="16"/>
              </w:rPr>
              <w:t>Use in code or object</w:t>
            </w:r>
          </w:p>
        </w:tc>
        <w:tc>
          <w:tcPr>
            <w:tcW w:type="dxa" w:w="3528"/>
            <w:shd w:fill="2F6690"/>
            <w:vAlign w:val="center"/>
            <w:tcMar>
              <w:top w:w="90" w:type="dxa"/>
              <w:start w:w="100" w:type="dxa"/>
              <w:bottom w:w="90" w:type="dxa"/>
              <w:end w:w="100" w:type="dxa"/>
            </w:tcMar>
          </w:tcPr>
          <w:p>
            <w:pPr>
              <w:spacing w:after="20" w:before="20"/>
            </w:pPr>
            <w:r/>
            <w:r>
              <w:rPr>
                <w:rFonts w:ascii="Aptos" w:hAnsi="Aptos"/>
                <w:b/>
                <w:i w:val="0"/>
                <w:color w:val="FFFFFF"/>
                <w:sz w:val="16"/>
              </w:rPr>
              <w:t>Retrieved Salesforce schema</w:t>
            </w:r>
          </w:p>
        </w:tc>
      </w:tr>
      <w:tr>
        <w:trPr>
          <w:cantSplit/>
        </w:trPr>
        <w:tc>
          <w:tcPr>
            <w:tcW w:type="dxa" w:w="2088"/>
            <w:vAlign w:val="center"/>
          </w:tcPr>
          <w:p>
            <w:pPr>
              <w:spacing w:after="20" w:before="20"/>
            </w:pPr>
            <w:r/>
            <w:r>
              <w:rPr>
                <w:rFonts w:ascii="Aptos" w:hAnsi="Aptos"/>
                <w:b w:val="0"/>
                <w:i w:val="0"/>
                <w:color w:val="243247"/>
                <w:sz w:val="16"/>
              </w:rPr>
              <w:t>Id</w:t>
            </w:r>
          </w:p>
        </w:tc>
        <w:tc>
          <w:tcPr>
            <w:tcW w:type="dxa" w:w="4464"/>
            <w:vAlign w:val="center"/>
          </w:tcPr>
          <w:p>
            <w:pPr>
              <w:spacing w:after="20" w:before="20"/>
            </w:pPr>
            <w:r/>
            <w:r>
              <w:rPr>
                <w:rFonts w:ascii="Aptos" w:hAnsi="Aptos"/>
                <w:b w:val="0"/>
                <w:i w:val="0"/>
                <w:color w:val="243247"/>
                <w:sz w:val="16"/>
              </w:rPr>
              <w:t>Employee identity sent to Apex.</w:t>
            </w:r>
          </w:p>
        </w:tc>
        <w:tc>
          <w:tcPr>
            <w:tcW w:type="dxa" w:w="3528"/>
            <w:vAlign w:val="center"/>
          </w:tcPr>
          <w:p>
            <w:pPr>
              <w:spacing w:after="20" w:before="20"/>
            </w:pPr>
            <w:r/>
            <w:r>
              <w:rPr>
                <w:rFonts w:ascii="Aptos" w:hAnsi="Aptos"/>
                <w:b w:val="0"/>
                <w:i w:val="0"/>
                <w:color w:val="243247"/>
                <w:sz w:val="16"/>
              </w:rPr>
              <w:t>Standard Salesforce record ID.</w:t>
            </w:r>
          </w:p>
        </w:tc>
      </w:tr>
      <w:tr>
        <w:trPr>
          <w:cantSplit/>
        </w:trPr>
        <w:tc>
          <w:tcPr>
            <w:tcW w:type="dxa" w:w="2088"/>
            <w:vAlign w:val="center"/>
          </w:tcPr>
          <w:p>
            <w:pPr>
              <w:spacing w:after="20" w:before="20"/>
            </w:pPr>
            <w:r/>
            <w:r>
              <w:rPr>
                <w:rFonts w:ascii="Aptos" w:hAnsi="Aptos"/>
                <w:b w:val="0"/>
                <w:i w:val="0"/>
                <w:color w:val="243247"/>
                <w:sz w:val="16"/>
              </w:rPr>
              <w:t>Name</w:t>
            </w:r>
          </w:p>
        </w:tc>
        <w:tc>
          <w:tcPr>
            <w:tcW w:type="dxa" w:w="4464"/>
            <w:vAlign w:val="center"/>
          </w:tcPr>
          <w:p>
            <w:pPr>
              <w:spacing w:after="20" w:before="20"/>
            </w:pPr>
            <w:r/>
            <w:r>
              <w:rPr>
                <w:rFonts w:ascii="Aptos" w:hAnsi="Aptos"/>
                <w:b w:val="0"/>
                <w:i w:val="0"/>
                <w:color w:val="243247"/>
                <w:sz w:val="16"/>
              </w:rPr>
              <w:t>Displayed employee name; also used to key the local leave allocation map.</w:t>
            </w:r>
          </w:p>
        </w:tc>
        <w:tc>
          <w:tcPr>
            <w:tcW w:type="dxa" w:w="3528"/>
            <w:vAlign w:val="center"/>
          </w:tcPr>
          <w:p>
            <w:pPr>
              <w:spacing w:after="20" w:before="20"/>
            </w:pPr>
            <w:r/>
            <w:r>
              <w:rPr>
                <w:rFonts w:ascii="Aptos" w:hAnsi="Aptos"/>
                <w:b w:val="0"/>
                <w:i w:val="0"/>
                <w:color w:val="243247"/>
                <w:sz w:val="16"/>
              </w:rPr>
              <w:t>Record Name field, Text; label Employee Name.</w:t>
            </w:r>
          </w:p>
        </w:tc>
      </w:tr>
      <w:tr>
        <w:trPr>
          <w:cantSplit/>
        </w:trPr>
        <w:tc>
          <w:tcPr>
            <w:tcW w:type="dxa" w:w="2088"/>
            <w:vAlign w:val="center"/>
          </w:tcPr>
          <w:p>
            <w:pPr>
              <w:spacing w:after="20" w:before="20"/>
            </w:pPr>
            <w:r/>
            <w:r>
              <w:rPr>
                <w:rFonts w:ascii="Aptos" w:hAnsi="Aptos"/>
                <w:b w:val="0"/>
                <w:i w:val="0"/>
                <w:color w:val="243247"/>
                <w:sz w:val="16"/>
              </w:rPr>
              <w:t>Employee_ID__c</w:t>
            </w:r>
          </w:p>
        </w:tc>
        <w:tc>
          <w:tcPr>
            <w:tcW w:type="dxa" w:w="4464"/>
            <w:vAlign w:val="center"/>
          </w:tcPr>
          <w:p>
            <w:pPr>
              <w:spacing w:after="20" w:before="20"/>
            </w:pPr>
            <w:r/>
            <w:r>
              <w:rPr>
                <w:rFonts w:ascii="Aptos" w:hAnsi="Aptos"/>
                <w:b w:val="0"/>
                <w:i w:val="0"/>
                <w:color w:val="243247"/>
                <w:sz w:val="16"/>
              </w:rPr>
              <w:t>Not used by this tracker today.</w:t>
            </w:r>
          </w:p>
        </w:tc>
        <w:tc>
          <w:tcPr>
            <w:tcW w:type="dxa" w:w="3528"/>
            <w:vAlign w:val="center"/>
          </w:tcPr>
          <w:p>
            <w:pPr>
              <w:spacing w:after="20" w:before="20"/>
            </w:pPr>
            <w:r/>
            <w:r>
              <w:rPr>
                <w:rFonts w:ascii="Aptos" w:hAnsi="Aptos"/>
                <w:b w:val="0"/>
                <w:i w:val="0"/>
                <w:color w:val="243247"/>
                <w:sz w:val="16"/>
              </w:rPr>
              <w:t>Text(20), required, unique, case-insensitive. A stronger stable key than Name for future allocation data.</w:t>
            </w:r>
          </w:p>
        </w:tc>
      </w:tr>
      <w:tr>
        <w:trPr>
          <w:cantSplit/>
        </w:trPr>
        <w:tc>
          <w:tcPr>
            <w:tcW w:type="dxa" w:w="2088"/>
            <w:vAlign w:val="center"/>
          </w:tcPr>
          <w:p>
            <w:pPr>
              <w:spacing w:after="20" w:before="20"/>
            </w:pPr>
            <w:r/>
            <w:r>
              <w:rPr>
                <w:rFonts w:ascii="Aptos" w:hAnsi="Aptos"/>
                <w:b w:val="0"/>
                <w:i w:val="0"/>
                <w:color w:val="243247"/>
                <w:sz w:val="16"/>
              </w:rPr>
              <w:t>Active__c</w:t>
            </w:r>
          </w:p>
        </w:tc>
        <w:tc>
          <w:tcPr>
            <w:tcW w:type="dxa" w:w="4464"/>
            <w:vAlign w:val="center"/>
          </w:tcPr>
          <w:p>
            <w:pPr>
              <w:spacing w:after="20" w:before="20"/>
            </w:pPr>
            <w:r/>
            <w:r>
              <w:rPr>
                <w:rFonts w:ascii="Aptos" w:hAnsi="Aptos"/>
                <w:b w:val="0"/>
                <w:i w:val="0"/>
                <w:color w:val="243247"/>
                <w:sz w:val="16"/>
              </w:rPr>
              <w:t>Filters the employee list to active records.</w:t>
            </w:r>
          </w:p>
        </w:tc>
        <w:tc>
          <w:tcPr>
            <w:tcW w:type="dxa" w:w="3528"/>
            <w:vAlign w:val="center"/>
          </w:tcPr>
          <w:p>
            <w:pPr>
              <w:spacing w:after="20" w:before="20"/>
            </w:pPr>
            <w:r/>
            <w:r>
              <w:rPr>
                <w:rFonts w:ascii="Aptos" w:hAnsi="Aptos"/>
                <w:b w:val="0"/>
                <w:i w:val="0"/>
                <w:color w:val="243247"/>
                <w:sz w:val="16"/>
              </w:rPr>
              <w:t>Checkbox; default true.</w:t>
            </w:r>
          </w:p>
        </w:tc>
      </w:tr>
      <w:tr>
        <w:trPr>
          <w:cantSplit/>
        </w:trPr>
        <w:tc>
          <w:tcPr>
            <w:tcW w:type="dxa" w:w="2088"/>
            <w:vAlign w:val="center"/>
          </w:tcPr>
          <w:p>
            <w:pPr>
              <w:spacing w:after="20" w:before="20"/>
            </w:pPr>
            <w:r/>
            <w:r>
              <w:rPr>
                <w:rFonts w:ascii="Aptos" w:hAnsi="Aptos"/>
                <w:b w:val="0"/>
                <w:i w:val="0"/>
                <w:color w:val="243247"/>
                <w:sz w:val="16"/>
              </w:rPr>
              <w:t>Department__c</w:t>
            </w:r>
          </w:p>
        </w:tc>
        <w:tc>
          <w:tcPr>
            <w:tcW w:type="dxa" w:w="4464"/>
            <w:vAlign w:val="center"/>
          </w:tcPr>
          <w:p>
            <w:pPr>
              <w:spacing w:after="20" w:before="20"/>
            </w:pPr>
            <w:r/>
            <w:r>
              <w:rPr>
                <w:rFonts w:ascii="Aptos" w:hAnsi="Aptos"/>
                <w:b w:val="0"/>
                <w:i w:val="0"/>
                <w:color w:val="243247"/>
                <w:sz w:val="16"/>
              </w:rPr>
              <w:t>Not used by this tracker today.</w:t>
            </w:r>
          </w:p>
        </w:tc>
        <w:tc>
          <w:tcPr>
            <w:tcW w:type="dxa" w:w="3528"/>
            <w:vAlign w:val="center"/>
          </w:tcPr>
          <w:p>
            <w:pPr>
              <w:spacing w:after="20" w:before="20"/>
            </w:pPr>
            <w:r/>
            <w:r>
              <w:rPr>
                <w:rFonts w:ascii="Aptos" w:hAnsi="Aptos"/>
                <w:b w:val="0"/>
                <w:i w:val="0"/>
                <w:color w:val="243247"/>
                <w:sz w:val="16"/>
              </w:rPr>
              <w:t>Optional restricted Picklist: HR, Sales &amp; Marketing, Development, Testing, Administration, Finance, UI &amp; UX.</w:t>
            </w:r>
          </w:p>
        </w:tc>
      </w:tr>
      <w:tr>
        <w:trPr>
          <w:cantSplit/>
        </w:trPr>
        <w:tc>
          <w:tcPr>
            <w:tcW w:type="dxa" w:w="2088"/>
            <w:vAlign w:val="center"/>
          </w:tcPr>
          <w:p>
            <w:pPr>
              <w:spacing w:after="20" w:before="20"/>
            </w:pPr>
            <w:r/>
            <w:r>
              <w:rPr>
                <w:rFonts w:ascii="Aptos" w:hAnsi="Aptos"/>
                <w:b w:val="0"/>
                <w:i w:val="0"/>
                <w:color w:val="243247"/>
                <w:sz w:val="16"/>
              </w:rPr>
              <w:t>Designation__c</w:t>
            </w:r>
          </w:p>
        </w:tc>
        <w:tc>
          <w:tcPr>
            <w:tcW w:type="dxa" w:w="4464"/>
            <w:vAlign w:val="center"/>
          </w:tcPr>
          <w:p>
            <w:pPr>
              <w:spacing w:after="20" w:before="20"/>
            </w:pPr>
            <w:r/>
            <w:r>
              <w:rPr>
                <w:rFonts w:ascii="Aptos" w:hAnsi="Aptos"/>
                <w:b w:val="0"/>
                <w:i w:val="0"/>
                <w:color w:val="243247"/>
                <w:sz w:val="16"/>
              </w:rPr>
              <w:t>Not used by this tracker today.</w:t>
            </w:r>
          </w:p>
        </w:tc>
        <w:tc>
          <w:tcPr>
            <w:tcW w:type="dxa" w:w="3528"/>
            <w:vAlign w:val="center"/>
          </w:tcPr>
          <w:p>
            <w:pPr>
              <w:spacing w:after="20" w:before="20"/>
            </w:pPr>
            <w:r/>
            <w:r>
              <w:rPr>
                <w:rFonts w:ascii="Aptos" w:hAnsi="Aptos"/>
                <w:b w:val="0"/>
                <w:i w:val="0"/>
                <w:color w:val="243247"/>
                <w:sz w:val="16"/>
              </w:rPr>
              <w:t>Optional Text(100).</w:t>
            </w:r>
          </w:p>
        </w:tc>
      </w:tr>
    </w:tbl>
    <w:p>
      <w:pPr>
        <w:spacing w:after="20"/>
      </w:pPr>
    </w:p>
    <w:p>
      <w:pPr>
        <w:pStyle w:val="Heading2"/>
      </w:pPr>
      <w:r>
        <w:t>Attendance__c fields used</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3168"/>
        <w:gridCol w:w="6912"/>
      </w:tblGrid>
      <w:tr>
        <w:trPr>
          <w:tblHeader w:val="true"/>
          <w:cantSplit/>
        </w:trPr>
        <w:tc>
          <w:tcPr>
            <w:tcW w:type="dxa" w:w="3168"/>
            <w:shd w:fill="2F6690"/>
            <w:vAlign w:val="center"/>
            <w:tcMar>
              <w:top w:w="90" w:type="dxa"/>
              <w:start w:w="100" w:type="dxa"/>
              <w:bottom w:w="90" w:type="dxa"/>
              <w:end w:w="100" w:type="dxa"/>
            </w:tcMar>
          </w:tcPr>
          <w:p>
            <w:pPr>
              <w:spacing w:after="20" w:before="20"/>
            </w:pPr>
            <w:r/>
            <w:r>
              <w:rPr>
                <w:rFonts w:ascii="Aptos" w:hAnsi="Aptos"/>
                <w:b/>
                <w:i w:val="0"/>
                <w:color w:val="FFFFFF"/>
                <w:sz w:val="16"/>
              </w:rPr>
              <w:t>Field / schema</w:t>
            </w:r>
          </w:p>
        </w:tc>
        <w:tc>
          <w:tcPr>
            <w:tcW w:type="dxa" w:w="6912"/>
            <w:shd w:fill="2F6690"/>
            <w:vAlign w:val="center"/>
            <w:tcMar>
              <w:top w:w="90" w:type="dxa"/>
              <w:start w:w="100" w:type="dxa"/>
              <w:bottom w:w="90" w:type="dxa"/>
              <w:end w:w="100" w:type="dxa"/>
            </w:tcMar>
          </w:tcPr>
          <w:p>
            <w:pPr>
              <w:spacing w:after="20" w:before="20"/>
            </w:pPr>
            <w:r/>
            <w:r>
              <w:rPr>
                <w:rFonts w:ascii="Aptos" w:hAnsi="Aptos"/>
                <w:b/>
                <w:i w:val="0"/>
                <w:color w:val="FFFFFF"/>
                <w:sz w:val="16"/>
              </w:rPr>
              <w:t>Use in code and data model</w:t>
            </w:r>
          </w:p>
        </w:tc>
      </w:tr>
      <w:tr>
        <w:trPr>
          <w:cantSplit/>
        </w:trPr>
        <w:tc>
          <w:tcPr>
            <w:tcW w:type="dxa" w:w="3168"/>
            <w:vAlign w:val="center"/>
          </w:tcPr>
          <w:p>
            <w:pPr>
              <w:spacing w:after="20" w:before="20"/>
            </w:pPr>
            <w:r/>
            <w:r>
              <w:rPr>
                <w:rFonts w:ascii="Aptos" w:hAnsi="Aptos"/>
                <w:b w:val="0"/>
                <w:i w:val="0"/>
                <w:color w:val="243247"/>
                <w:sz w:val="16"/>
              </w:rPr>
              <w:t>Id</w:t>
            </w:r>
          </w:p>
        </w:tc>
        <w:tc>
          <w:tcPr>
            <w:tcW w:type="dxa" w:w="6912"/>
            <w:vAlign w:val="center"/>
          </w:tcPr>
          <w:p>
            <w:pPr>
              <w:spacing w:after="20" w:before="20"/>
            </w:pPr>
            <w:r/>
            <w:r>
              <w:rPr>
                <w:rFonts w:ascii="Aptos" w:hAnsi="Aptos"/>
                <w:b w:val="0"/>
                <w:i w:val="0"/>
                <w:color w:val="243247"/>
                <w:sz w:val="16"/>
              </w:rPr>
              <w:t>Standard Salesforce record ID.</w:t>
            </w:r>
          </w:p>
        </w:tc>
      </w:tr>
      <w:tr>
        <w:trPr>
          <w:cantSplit/>
        </w:trPr>
        <w:tc>
          <w:tcPr>
            <w:tcW w:type="dxa" w:w="3168"/>
            <w:vAlign w:val="center"/>
          </w:tcPr>
          <w:p>
            <w:pPr>
              <w:spacing w:after="20" w:before="20"/>
            </w:pPr>
            <w:r/>
            <w:r>
              <w:rPr>
                <w:rFonts w:ascii="Aptos" w:hAnsi="Aptos"/>
                <w:b w:val="0"/>
                <w:i w:val="0"/>
                <w:color w:val="243247"/>
                <w:sz w:val="16"/>
              </w:rPr>
              <w:t>Name</w:t>
            </w:r>
          </w:p>
        </w:tc>
        <w:tc>
          <w:tcPr>
            <w:tcW w:type="dxa" w:w="6912"/>
            <w:vAlign w:val="center"/>
          </w:tcPr>
          <w:p>
            <w:pPr>
              <w:spacing w:after="20" w:before="20"/>
            </w:pPr>
            <w:r/>
            <w:r>
              <w:rPr>
                <w:rFonts w:ascii="Aptos" w:hAnsi="Aptos"/>
                <w:b w:val="0"/>
                <w:i w:val="0"/>
                <w:color w:val="243247"/>
                <w:sz w:val="16"/>
              </w:rPr>
              <w:t>Auto Number formatted ATT-{00000}; Salesforce-generated attendance key.</w:t>
            </w:r>
          </w:p>
        </w:tc>
      </w:tr>
      <w:tr>
        <w:trPr>
          <w:cantSplit/>
        </w:trPr>
        <w:tc>
          <w:tcPr>
            <w:tcW w:type="dxa" w:w="3168"/>
            <w:vAlign w:val="center"/>
          </w:tcPr>
          <w:p>
            <w:pPr>
              <w:spacing w:after="20" w:before="20"/>
            </w:pPr>
            <w:r/>
            <w:r>
              <w:rPr>
                <w:rFonts w:ascii="Aptos" w:hAnsi="Aptos"/>
                <w:b w:val="0"/>
                <w:i w:val="0"/>
                <w:color w:val="243247"/>
                <w:sz w:val="16"/>
              </w:rPr>
              <w:t>Employee__c</w:t>
            </w:r>
          </w:p>
        </w:tc>
        <w:tc>
          <w:tcPr>
            <w:tcW w:type="dxa" w:w="6912"/>
            <w:vAlign w:val="center"/>
          </w:tcPr>
          <w:p>
            <w:pPr>
              <w:spacing w:after="20" w:before="20"/>
            </w:pPr>
            <w:r/>
            <w:r>
              <w:rPr>
                <w:rFonts w:ascii="Aptos" w:hAnsi="Aptos"/>
                <w:b w:val="0"/>
                <w:i w:val="0"/>
                <w:color w:val="243247"/>
                <w:sz w:val="16"/>
              </w:rPr>
              <w:t>Required Lookup to Employee__c; delete is restricted while attendance records exist. LWC shows Employee__r.Name.</w:t>
            </w:r>
          </w:p>
        </w:tc>
      </w:tr>
      <w:tr>
        <w:trPr>
          <w:cantSplit/>
        </w:trPr>
        <w:tc>
          <w:tcPr>
            <w:tcW w:type="dxa" w:w="3168"/>
            <w:vAlign w:val="center"/>
          </w:tcPr>
          <w:p>
            <w:pPr>
              <w:spacing w:after="20" w:before="20"/>
            </w:pPr>
            <w:r/>
            <w:r>
              <w:rPr>
                <w:rFonts w:ascii="Aptos" w:hAnsi="Aptos"/>
                <w:b w:val="0"/>
                <w:i w:val="0"/>
                <w:color w:val="243247"/>
                <w:sz w:val="16"/>
              </w:rPr>
              <w:t>Attendance_Date__c</w:t>
            </w:r>
          </w:p>
        </w:tc>
        <w:tc>
          <w:tcPr>
            <w:tcW w:type="dxa" w:w="6912"/>
            <w:vAlign w:val="center"/>
          </w:tcPr>
          <w:p>
            <w:pPr>
              <w:spacing w:after="20" w:before="20"/>
            </w:pPr>
            <w:r/>
            <w:r>
              <w:rPr>
                <w:rFonts w:ascii="Aptos" w:hAnsi="Aptos"/>
                <w:b w:val="0"/>
                <w:i w:val="0"/>
                <w:color w:val="243247"/>
                <w:sz w:val="16"/>
              </w:rPr>
              <w:t>Required Date; grid day key and month/year range filters.</w:t>
            </w:r>
          </w:p>
        </w:tc>
      </w:tr>
      <w:tr>
        <w:trPr>
          <w:cantSplit/>
        </w:trPr>
        <w:tc>
          <w:tcPr>
            <w:tcW w:type="dxa" w:w="3168"/>
            <w:vAlign w:val="center"/>
          </w:tcPr>
          <w:p>
            <w:pPr>
              <w:spacing w:after="20" w:before="20"/>
            </w:pPr>
            <w:r/>
            <w:r>
              <w:rPr>
                <w:rFonts w:ascii="Aptos" w:hAnsi="Aptos"/>
                <w:b w:val="0"/>
                <w:i w:val="0"/>
                <w:color w:val="243247"/>
                <w:sz w:val="16"/>
              </w:rPr>
              <w:t>Status__c</w:t>
            </w:r>
          </w:p>
        </w:tc>
        <w:tc>
          <w:tcPr>
            <w:tcW w:type="dxa" w:w="6912"/>
            <w:vAlign w:val="center"/>
          </w:tcPr>
          <w:p>
            <w:pPr>
              <w:spacing w:after="20" w:before="20"/>
            </w:pPr>
            <w:r/>
            <w:r>
              <w:rPr>
                <w:rFonts w:ascii="Aptos" w:hAnsi="Aptos"/>
                <w:b w:val="0"/>
                <w:i w:val="0"/>
                <w:color w:val="243247"/>
                <w:sz w:val="16"/>
              </w:rPr>
              <w:t>Required restricted Picklist: WFO, WFH, Leave, Holiday, Weekly_Off, None, Absent.</w:t>
            </w:r>
          </w:p>
        </w:tc>
      </w:tr>
      <w:tr>
        <w:trPr>
          <w:cantSplit/>
        </w:trPr>
        <w:tc>
          <w:tcPr>
            <w:tcW w:type="dxa" w:w="3168"/>
            <w:vAlign w:val="center"/>
          </w:tcPr>
          <w:p>
            <w:pPr>
              <w:spacing w:after="20" w:before="20"/>
            </w:pPr>
            <w:r/>
            <w:r>
              <w:rPr>
                <w:rFonts w:ascii="Aptos" w:hAnsi="Aptos"/>
                <w:b w:val="0"/>
                <w:i w:val="0"/>
                <w:color w:val="243247"/>
                <w:sz w:val="16"/>
              </w:rPr>
              <w:t>Remarks__c</w:t>
            </w:r>
          </w:p>
        </w:tc>
        <w:tc>
          <w:tcPr>
            <w:tcW w:type="dxa" w:w="6912"/>
            <w:vAlign w:val="center"/>
          </w:tcPr>
          <w:p>
            <w:pPr>
              <w:spacing w:after="20" w:before="20"/>
            </w:pPr>
            <w:r/>
            <w:r>
              <w:rPr>
                <w:rFonts w:ascii="Aptos" w:hAnsi="Aptos"/>
                <w:b w:val="0"/>
                <w:i w:val="0"/>
                <w:color w:val="243247"/>
                <w:sz w:val="16"/>
              </w:rPr>
              <w:t>Optional Long Text Area(32,768), 5 visible lines; selected by Apex. LWC currently sends an empty string when saving.</w:t>
            </w:r>
          </w:p>
        </w:tc>
      </w:tr>
      <w:tr>
        <w:trPr>
          <w:cantSplit/>
        </w:trPr>
        <w:tc>
          <w:tcPr>
            <w:tcW w:type="dxa" w:w="3168"/>
            <w:vAlign w:val="center"/>
          </w:tcPr>
          <w:p>
            <w:pPr>
              <w:spacing w:after="20" w:before="20"/>
            </w:pPr>
            <w:r/>
            <w:r>
              <w:rPr>
                <w:rFonts w:ascii="Aptos" w:hAnsi="Aptos"/>
                <w:b w:val="0"/>
                <w:i w:val="0"/>
                <w:color w:val="243247"/>
                <w:sz w:val="16"/>
              </w:rPr>
              <w:t>Day__c</w:t>
            </w:r>
          </w:p>
        </w:tc>
        <w:tc>
          <w:tcPr>
            <w:tcW w:type="dxa" w:w="6912"/>
            <w:vAlign w:val="center"/>
          </w:tcPr>
          <w:p>
            <w:pPr>
              <w:spacing w:after="20" w:before="20"/>
            </w:pPr>
            <w:r/>
            <w:r>
              <w:rPr>
                <w:rFonts w:ascii="Aptos" w:hAnsi="Aptos"/>
                <w:b w:val="0"/>
                <w:i w:val="0"/>
                <w:color w:val="243247"/>
                <w:sz w:val="16"/>
              </w:rPr>
              <w:t>Formula Text derived from Attendance_Date__c (weekday); queried but calendar labels are generated in the LWC.</w:t>
            </w:r>
          </w:p>
        </w:tc>
      </w:tr>
      <w:tr>
        <w:trPr>
          <w:cantSplit/>
        </w:trPr>
        <w:tc>
          <w:tcPr>
            <w:tcW w:type="dxa" w:w="3168"/>
            <w:vAlign w:val="center"/>
          </w:tcPr>
          <w:p>
            <w:pPr>
              <w:spacing w:after="20" w:before="20"/>
            </w:pPr>
            <w:r/>
            <w:r>
              <w:rPr>
                <w:rFonts w:ascii="Aptos" w:hAnsi="Aptos"/>
                <w:b w:val="0"/>
                <w:i w:val="0"/>
                <w:color w:val="243247"/>
                <w:sz w:val="16"/>
              </w:rPr>
              <w:t>Month__c</w:t>
            </w:r>
          </w:p>
        </w:tc>
        <w:tc>
          <w:tcPr>
            <w:tcW w:type="dxa" w:w="6912"/>
            <w:vAlign w:val="center"/>
          </w:tcPr>
          <w:p>
            <w:pPr>
              <w:spacing w:after="20" w:before="20"/>
            </w:pPr>
            <w:r/>
            <w:r>
              <w:rPr>
                <w:rFonts w:ascii="Aptos" w:hAnsi="Aptos"/>
                <w:b w:val="0"/>
                <w:i w:val="0"/>
                <w:color w:val="243247"/>
                <w:sz w:val="16"/>
              </w:rPr>
              <w:t>Formula Text derived from Attendance_Date__c (month name); queried but not used for calendar calculation.</w:t>
            </w:r>
          </w:p>
        </w:tc>
      </w:tr>
      <w:tr>
        <w:trPr>
          <w:cantSplit/>
        </w:trPr>
        <w:tc>
          <w:tcPr>
            <w:tcW w:type="dxa" w:w="3168"/>
            <w:vAlign w:val="center"/>
          </w:tcPr>
          <w:p>
            <w:pPr>
              <w:spacing w:after="20" w:before="20"/>
            </w:pPr>
            <w:r/>
            <w:r>
              <w:rPr>
                <w:rFonts w:ascii="Aptos" w:hAnsi="Aptos"/>
                <w:b w:val="0"/>
                <w:i w:val="0"/>
                <w:color w:val="243247"/>
                <w:sz w:val="16"/>
              </w:rPr>
              <w:t>Year__c</w:t>
            </w:r>
          </w:p>
        </w:tc>
        <w:tc>
          <w:tcPr>
            <w:tcW w:type="dxa" w:w="6912"/>
            <w:vAlign w:val="center"/>
          </w:tcPr>
          <w:p>
            <w:pPr>
              <w:spacing w:after="20" w:before="20"/>
            </w:pPr>
            <w:r/>
            <w:r>
              <w:rPr>
                <w:rFonts w:ascii="Aptos" w:hAnsi="Aptos"/>
                <w:b w:val="0"/>
                <w:i w:val="0"/>
                <w:color w:val="243247"/>
                <w:sz w:val="16"/>
              </w:rPr>
              <w:t>Formula Text from YEAR(Attendance_Date__c); queried but not used for calendar calculation.</w:t>
            </w:r>
          </w:p>
        </w:tc>
      </w:tr>
    </w:tbl>
    <w:p>
      <w:pPr>
        <w:spacing w:after="20"/>
      </w:pPr>
    </w:p>
    <w:p>
      <w:pPr>
        <w:spacing w:after="100"/>
      </w:pPr>
      <w:r>
        <w:rPr>
          <w:rFonts w:ascii="Aptos" w:hAnsi="Aptos"/>
          <w:b w:val="0"/>
          <w:i/>
          <w:color w:val="9C5700"/>
          <w:sz w:val="18"/>
        </w:rPr>
        <w:t>Metadata review note: Description__c is a required Text Area, but its field description and inline help say to enter the holiday date. The actual date is already stored in Holiday_Date__c. Update the field help text to reduce data-entry confusion.</w:t>
      </w:r>
    </w:p>
    <w:p>
      <w:pPr>
        <w:pStyle w:val="Heading2"/>
      </w:pPr>
      <w:r>
        <w:t>Holiday__c fields used</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3168"/>
        <w:gridCol w:w="6912"/>
      </w:tblGrid>
      <w:tr>
        <w:trPr>
          <w:tblHeader w:val="true"/>
          <w:cantSplit/>
        </w:trPr>
        <w:tc>
          <w:tcPr>
            <w:tcW w:type="dxa" w:w="3168"/>
            <w:shd w:fill="2F6690"/>
            <w:vAlign w:val="center"/>
            <w:tcMar>
              <w:top w:w="90" w:type="dxa"/>
              <w:start w:w="100" w:type="dxa"/>
              <w:bottom w:w="90" w:type="dxa"/>
              <w:end w:w="100" w:type="dxa"/>
            </w:tcMar>
          </w:tcPr>
          <w:p>
            <w:pPr>
              <w:spacing w:after="20" w:before="20"/>
            </w:pPr>
            <w:r/>
            <w:r>
              <w:rPr>
                <w:rFonts w:ascii="Aptos" w:hAnsi="Aptos"/>
                <w:b/>
                <w:i w:val="0"/>
                <w:color w:val="FFFFFF"/>
                <w:sz w:val="16"/>
              </w:rPr>
              <w:t>Field / schema</w:t>
            </w:r>
          </w:p>
        </w:tc>
        <w:tc>
          <w:tcPr>
            <w:tcW w:type="dxa" w:w="6912"/>
            <w:shd w:fill="2F6690"/>
            <w:vAlign w:val="center"/>
            <w:tcMar>
              <w:top w:w="90" w:type="dxa"/>
              <w:start w:w="100" w:type="dxa"/>
              <w:bottom w:w="90" w:type="dxa"/>
              <w:end w:w="100" w:type="dxa"/>
            </w:tcMar>
          </w:tcPr>
          <w:p>
            <w:pPr>
              <w:spacing w:after="20" w:before="20"/>
            </w:pPr>
            <w:r/>
            <w:r>
              <w:rPr>
                <w:rFonts w:ascii="Aptos" w:hAnsi="Aptos"/>
                <w:b/>
                <w:i w:val="0"/>
                <w:color w:val="FFFFFF"/>
                <w:sz w:val="16"/>
              </w:rPr>
              <w:t>Use in code and data model</w:t>
            </w:r>
          </w:p>
        </w:tc>
      </w:tr>
      <w:tr>
        <w:trPr>
          <w:cantSplit/>
        </w:trPr>
        <w:tc>
          <w:tcPr>
            <w:tcW w:type="dxa" w:w="3168"/>
            <w:vAlign w:val="center"/>
          </w:tcPr>
          <w:p>
            <w:pPr>
              <w:spacing w:after="20" w:before="20"/>
            </w:pPr>
            <w:r/>
            <w:r>
              <w:rPr>
                <w:rFonts w:ascii="Aptos" w:hAnsi="Aptos"/>
                <w:b w:val="0"/>
                <w:i w:val="0"/>
                <w:color w:val="243247"/>
                <w:sz w:val="16"/>
              </w:rPr>
              <w:t>Id</w:t>
            </w:r>
          </w:p>
        </w:tc>
        <w:tc>
          <w:tcPr>
            <w:tcW w:type="dxa" w:w="6912"/>
            <w:vAlign w:val="center"/>
          </w:tcPr>
          <w:p>
            <w:pPr>
              <w:spacing w:after="20" w:before="20"/>
            </w:pPr>
            <w:r/>
            <w:r>
              <w:rPr>
                <w:rFonts w:ascii="Aptos" w:hAnsi="Aptos"/>
                <w:b w:val="0"/>
                <w:i w:val="0"/>
                <w:color w:val="243247"/>
                <w:sz w:val="16"/>
              </w:rPr>
              <w:t>Standard Salesforce record ID.</w:t>
            </w:r>
          </w:p>
        </w:tc>
      </w:tr>
      <w:tr>
        <w:trPr>
          <w:cantSplit/>
        </w:trPr>
        <w:tc>
          <w:tcPr>
            <w:tcW w:type="dxa" w:w="3168"/>
            <w:vAlign w:val="center"/>
          </w:tcPr>
          <w:p>
            <w:pPr>
              <w:spacing w:after="20" w:before="20"/>
            </w:pPr>
            <w:r/>
            <w:r>
              <w:rPr>
                <w:rFonts w:ascii="Aptos" w:hAnsi="Aptos"/>
                <w:b w:val="0"/>
                <w:i w:val="0"/>
                <w:color w:val="243247"/>
                <w:sz w:val="16"/>
              </w:rPr>
              <w:t>Name</w:t>
            </w:r>
          </w:p>
        </w:tc>
        <w:tc>
          <w:tcPr>
            <w:tcW w:type="dxa" w:w="6912"/>
            <w:vAlign w:val="center"/>
          </w:tcPr>
          <w:p>
            <w:pPr>
              <w:spacing w:after="20" w:before="20"/>
            </w:pPr>
            <w:r/>
            <w:r>
              <w:rPr>
                <w:rFonts w:ascii="Aptos" w:hAnsi="Aptos"/>
                <w:b w:val="0"/>
                <w:i w:val="0"/>
                <w:color w:val="243247"/>
                <w:sz w:val="16"/>
              </w:rPr>
              <w:t>Text record name labeled Holiday Name.</w:t>
            </w:r>
          </w:p>
        </w:tc>
      </w:tr>
      <w:tr>
        <w:trPr>
          <w:cantSplit/>
        </w:trPr>
        <w:tc>
          <w:tcPr>
            <w:tcW w:type="dxa" w:w="3168"/>
            <w:vAlign w:val="center"/>
          </w:tcPr>
          <w:p>
            <w:pPr>
              <w:spacing w:after="20" w:before="20"/>
            </w:pPr>
            <w:r/>
            <w:r>
              <w:rPr>
                <w:rFonts w:ascii="Aptos" w:hAnsi="Aptos"/>
                <w:b w:val="0"/>
                <w:i w:val="0"/>
                <w:color w:val="243247"/>
                <w:sz w:val="16"/>
              </w:rPr>
              <w:t>Holiday_Date__c</w:t>
            </w:r>
          </w:p>
        </w:tc>
        <w:tc>
          <w:tcPr>
            <w:tcW w:type="dxa" w:w="6912"/>
            <w:vAlign w:val="center"/>
          </w:tcPr>
          <w:p>
            <w:pPr>
              <w:spacing w:after="20" w:before="20"/>
            </w:pPr>
            <w:r/>
            <w:r>
              <w:rPr>
                <w:rFonts w:ascii="Aptos" w:hAnsi="Aptos"/>
                <w:b w:val="0"/>
                <w:i w:val="0"/>
                <w:color w:val="243247"/>
                <w:sz w:val="16"/>
              </w:rPr>
              <w:t>Required Date; Apex filters active holidays to the selected month and the LWC marks the matching calendar cell.</w:t>
            </w:r>
          </w:p>
        </w:tc>
      </w:tr>
      <w:tr>
        <w:trPr>
          <w:cantSplit/>
        </w:trPr>
        <w:tc>
          <w:tcPr>
            <w:tcW w:type="dxa" w:w="3168"/>
            <w:vAlign w:val="center"/>
          </w:tcPr>
          <w:p>
            <w:pPr>
              <w:spacing w:after="20" w:before="20"/>
            </w:pPr>
            <w:r/>
            <w:r>
              <w:rPr>
                <w:rFonts w:ascii="Aptos" w:hAnsi="Aptos"/>
                <w:b w:val="0"/>
                <w:i w:val="0"/>
                <w:color w:val="243247"/>
                <w:sz w:val="16"/>
              </w:rPr>
              <w:t>Active__c</w:t>
            </w:r>
          </w:p>
        </w:tc>
        <w:tc>
          <w:tcPr>
            <w:tcW w:type="dxa" w:w="6912"/>
            <w:vAlign w:val="center"/>
          </w:tcPr>
          <w:p>
            <w:pPr>
              <w:spacing w:after="20" w:before="20"/>
            </w:pPr>
            <w:r/>
            <w:r>
              <w:rPr>
                <w:rFonts w:ascii="Aptos" w:hAnsi="Aptos"/>
                <w:b w:val="0"/>
                <w:i w:val="0"/>
                <w:color w:val="243247"/>
                <w:sz w:val="16"/>
              </w:rPr>
              <w:t>Checkbox default true; only active holidays are returned by Apex.</w:t>
            </w:r>
          </w:p>
        </w:tc>
      </w:tr>
      <w:tr>
        <w:trPr>
          <w:cantSplit/>
        </w:trPr>
        <w:tc>
          <w:tcPr>
            <w:tcW w:type="dxa" w:w="3168"/>
            <w:vAlign w:val="center"/>
          </w:tcPr>
          <w:p>
            <w:pPr>
              <w:spacing w:after="20" w:before="20"/>
            </w:pPr>
            <w:r/>
            <w:r>
              <w:rPr>
                <w:rFonts w:ascii="Aptos" w:hAnsi="Aptos"/>
                <w:b w:val="0"/>
                <w:i w:val="0"/>
                <w:color w:val="243247"/>
                <w:sz w:val="16"/>
              </w:rPr>
              <w:t>Description__c</w:t>
            </w:r>
          </w:p>
        </w:tc>
        <w:tc>
          <w:tcPr>
            <w:tcW w:type="dxa" w:w="6912"/>
            <w:vAlign w:val="center"/>
          </w:tcPr>
          <w:p>
            <w:pPr>
              <w:spacing w:after="20" w:before="20"/>
            </w:pPr>
            <w:r/>
            <w:r>
              <w:rPr>
                <w:rFonts w:ascii="Aptos" w:hAnsi="Aptos"/>
                <w:b w:val="0"/>
                <w:i w:val="0"/>
                <w:color w:val="243247"/>
                <w:sz w:val="16"/>
              </w:rPr>
              <w:t>Required Text Area; selected by Apex but not displayed in the grid. Its metadata description/help text incorrectly describe a date rather than a description (cleanup item).</w:t>
            </w:r>
          </w:p>
        </w:tc>
      </w:tr>
    </w:tbl>
    <w:p>
      <w:pPr>
        <w:spacing w:after="20"/>
      </w:pPr>
    </w:p>
    <w:p>
      <w:r>
        <w:br w:type="page"/>
      </w:r>
    </w:p>
    <w:p>
      <w:pPr>
        <w:spacing w:after="120"/>
      </w:pPr>
      <w:r>
        <w:rPr>
          <w:rFonts w:ascii="Aptos" w:hAnsi="Aptos"/>
          <w:b w:val="0"/>
          <w:i w:val="0"/>
          <w:color w:val="243247"/>
          <w:sz w:val="19"/>
        </w:rPr>
        <w:t>The retrieved schema confirms that leave is represented in Attendance__c.Status__c as one of the required attendance statuses; there is no separate entitlement, leave type, request, approval or balance object in these three retrieved custom objects.</w:t>
      </w:r>
    </w:p>
    <w:p>
      <w:pPr>
        <w:pStyle w:val="Heading1"/>
      </w:pPr>
      <w:r>
        <w:t>Leave counting and allocation</w:t>
      </w:r>
    </w:p>
    <w:p>
      <w:pPr/>
      <w:r>
        <w:rPr>
          <w:rFonts w:ascii="Aptos" w:hAnsi="Aptos"/>
          <w:b w:val="0"/>
          <w:i w:val="0"/>
          <w:color w:val="202A34"/>
          <w:sz w:val="20"/>
        </w:rPr>
        <w:t>The tracker has no separate leave-management object in the source model. A leave day is an Attendance__c record with Status__c = Leave. The LWC counts those records and applies the allocation map to the employee rows.</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1944"/>
        <w:gridCol w:w="4392"/>
        <w:gridCol w:w="3744"/>
      </w:tblGrid>
      <w:tr>
        <w:trPr>
          <w:tblHeader w:val="true"/>
          <w:cantSplit/>
        </w:trPr>
        <w:tc>
          <w:tcPr>
            <w:tcW w:type="dxa" w:w="1944"/>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Displayed value</w:t>
            </w:r>
          </w:p>
        </w:tc>
        <w:tc>
          <w:tcPr>
            <w:tcW w:type="dxa" w:w="4392"/>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Data source</w:t>
            </w:r>
          </w:p>
        </w:tc>
        <w:tc>
          <w:tcPr>
            <w:tcW w:type="dxa" w:w="3744"/>
            <w:shd w:fill="15304B"/>
            <w:vAlign w:val="center"/>
            <w:tcMar>
              <w:top w:w="90" w:type="dxa"/>
              <w:start w:w="100" w:type="dxa"/>
              <w:bottom w:w="90" w:type="dxa"/>
              <w:end w:w="100" w:type="dxa"/>
            </w:tcMar>
          </w:tcPr>
          <w:p>
            <w:pPr>
              <w:spacing w:after="0" w:line="240" w:lineRule="auto"/>
            </w:pPr>
            <w:r/>
            <w:r>
              <w:rPr>
                <w:rFonts w:ascii="Aptos" w:hAnsi="Aptos"/>
                <w:b/>
                <w:i w:val="0"/>
                <w:color w:val="FFFFFF"/>
                <w:sz w:val="17"/>
              </w:rPr>
              <w:t>Time period</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b w:val="0"/>
                <w:i w:val="0"/>
                <w:color w:val="202A34"/>
                <w:sz w:val="16"/>
              </w:rPr>
              <w:t>Leave</w:t>
            </w:r>
          </w:p>
        </w:tc>
        <w:tc>
          <w:tcPr>
            <w:tcW w:type="dxa" w:w="4392"/>
            <w:vAlign w:val="center"/>
            <w:tcMar>
              <w:top w:w="90" w:type="dxa"/>
              <w:start w:w="100" w:type="dxa"/>
              <w:bottom w:w="90" w:type="dxa"/>
              <w:end w:w="100" w:type="dxa"/>
            </w:tcMar>
          </w:tcPr>
          <w:p>
            <w:pPr>
              <w:spacing w:after="0" w:line="240" w:lineRule="auto"/>
            </w:pPr>
            <w:r/>
            <w:r>
              <w:rPr>
                <w:rFonts w:ascii="Aptos" w:hAnsi="Aptos"/>
                <w:b w:val="0"/>
                <w:i w:val="0"/>
                <w:color w:val="202A34"/>
                <w:sz w:val="16"/>
              </w:rPr>
              <w:t>Attendance__c records with Status__c = Leave.</w:t>
            </w:r>
          </w:p>
        </w:tc>
        <w:tc>
          <w:tcPr>
            <w:tcW w:type="dxa" w:w="3744"/>
            <w:vAlign w:val="center"/>
            <w:tcMar>
              <w:top w:w="90" w:type="dxa"/>
              <w:start w:w="100" w:type="dxa"/>
              <w:bottom w:w="90" w:type="dxa"/>
              <w:end w:w="100" w:type="dxa"/>
            </w:tcMar>
          </w:tcPr>
          <w:p>
            <w:pPr>
              <w:spacing w:after="0" w:line="240" w:lineRule="auto"/>
            </w:pPr>
            <w:r/>
            <w:r>
              <w:rPr>
                <w:rFonts w:ascii="Aptos" w:hAnsi="Aptos"/>
                <w:b w:val="0"/>
                <w:i w:val="0"/>
                <w:color w:val="202A34"/>
                <w:sz w:val="16"/>
              </w:rPr>
              <w:t>January 1 through the end of the selected month.</w:t>
            </w:r>
          </w:p>
        </w:tc>
      </w:tr>
      <w:tr>
        <w:trPr>
          <w:cantSplit/>
        </w:trPr>
        <w:tc>
          <w:tcPr>
            <w:tcW w:type="dxa" w:w="19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Allocated</w:t>
            </w:r>
          </w:p>
        </w:tc>
        <w:tc>
          <w:tcPr>
            <w:tcW w:type="dxa" w:w="4392"/>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LEAVE_ALLOCATIONS JavaScript map keyed by normalized employee Name.</w:t>
            </w:r>
          </w:p>
        </w:tc>
        <w:tc>
          <w:tcPr>
            <w:tcW w:type="dxa" w:w="37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Fixed number supplied for the employee; not read from Salesforce.</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b w:val="0"/>
                <w:i w:val="0"/>
                <w:color w:val="202A34"/>
                <w:sz w:val="16"/>
              </w:rPr>
              <w:t>Remaining</w:t>
            </w:r>
          </w:p>
        </w:tc>
        <w:tc>
          <w:tcPr>
            <w:tcW w:type="dxa" w:w="4392"/>
            <w:vAlign w:val="center"/>
            <w:tcMar>
              <w:top w:w="90" w:type="dxa"/>
              <w:start w:w="100" w:type="dxa"/>
              <w:bottom w:w="90" w:type="dxa"/>
              <w:end w:w="100" w:type="dxa"/>
            </w:tcMar>
          </w:tcPr>
          <w:p>
            <w:pPr>
              <w:spacing w:after="0" w:line="240" w:lineRule="auto"/>
            </w:pPr>
            <w:r/>
            <w:r>
              <w:rPr>
                <w:rFonts w:ascii="Aptos" w:hAnsi="Aptos"/>
                <w:b w:val="0"/>
                <w:i w:val="0"/>
                <w:color w:val="202A34"/>
                <w:sz w:val="16"/>
              </w:rPr>
              <w:t>Allocated minus year-to-date Leave count.</w:t>
            </w:r>
          </w:p>
        </w:tc>
        <w:tc>
          <w:tcPr>
            <w:tcW w:type="dxa" w:w="3744"/>
            <w:vAlign w:val="center"/>
            <w:tcMar>
              <w:top w:w="90" w:type="dxa"/>
              <w:start w:w="100" w:type="dxa"/>
              <w:bottom w:w="90" w:type="dxa"/>
              <w:end w:w="100" w:type="dxa"/>
            </w:tcMar>
          </w:tcPr>
          <w:p>
            <w:pPr>
              <w:spacing w:after="0" w:line="240" w:lineRule="auto"/>
            </w:pPr>
            <w:r/>
            <w:r>
              <w:rPr>
                <w:rFonts w:ascii="Aptos" w:hAnsi="Aptos"/>
                <w:b w:val="0"/>
                <w:i w:val="0"/>
                <w:color w:val="202A34"/>
                <w:sz w:val="16"/>
              </w:rPr>
              <w:t>Uses the same selected-year period as Leave.</w:t>
            </w:r>
          </w:p>
        </w:tc>
      </w:tr>
      <w:tr>
        <w:trPr>
          <w:cantSplit/>
        </w:trPr>
        <w:tc>
          <w:tcPr>
            <w:tcW w:type="dxa" w:w="19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WFH, WFO and Absent</w:t>
            </w:r>
          </w:p>
        </w:tc>
        <w:tc>
          <w:tcPr>
            <w:tcW w:type="dxa" w:w="4392"/>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Selected-month Attendance__c rows.</w:t>
            </w:r>
          </w:p>
        </w:tc>
        <w:tc>
          <w:tcPr>
            <w:tcW w:type="dxa" w:w="374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Selected month only.</w:t>
            </w:r>
          </w:p>
        </w:tc>
      </w:tr>
    </w:tbl>
    <w:p>
      <w:pPr>
        <w:spacing w:after="20"/>
      </w:pPr>
    </w:p>
    <w:p>
      <w:pPr>
        <w:pStyle w:val="Heading2"/>
      </w:pPr>
      <w:r>
        <w:t>Allocation values in the current LWC</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2088"/>
        <w:gridCol w:w="7992"/>
      </w:tblGrid>
      <w:tr>
        <w:trPr>
          <w:tblHeader w:val="true"/>
          <w:cantSplit/>
        </w:trPr>
        <w:tc>
          <w:tcPr>
            <w:tcW w:type="dxa" w:w="2088"/>
            <w:shd w:fill="2A7F83"/>
            <w:vAlign w:val="center"/>
            <w:tcMar>
              <w:top w:w="90" w:type="dxa"/>
              <w:start w:w="100" w:type="dxa"/>
              <w:bottom w:w="90" w:type="dxa"/>
              <w:end w:w="100" w:type="dxa"/>
            </w:tcMar>
          </w:tcPr>
          <w:p>
            <w:pPr>
              <w:spacing w:after="0" w:line="240" w:lineRule="auto"/>
            </w:pPr>
            <w:r/>
            <w:r>
              <w:rPr>
                <w:rFonts w:ascii="Aptos" w:hAnsi="Aptos"/>
                <w:b/>
                <w:i w:val="0"/>
                <w:color w:val="FFFFFF"/>
                <w:sz w:val="17"/>
              </w:rPr>
              <w:t>Allocation</w:t>
            </w:r>
          </w:p>
        </w:tc>
        <w:tc>
          <w:tcPr>
            <w:tcW w:type="dxa" w:w="7992"/>
            <w:shd w:fill="2A7F83"/>
            <w:vAlign w:val="center"/>
            <w:tcMar>
              <w:top w:w="90" w:type="dxa"/>
              <w:start w:w="100" w:type="dxa"/>
              <w:bottom w:w="90" w:type="dxa"/>
              <w:end w:w="100" w:type="dxa"/>
            </w:tcMar>
          </w:tcPr>
          <w:p>
            <w:pPr>
              <w:spacing w:after="0" w:line="240" w:lineRule="auto"/>
            </w:pPr>
            <w:r/>
            <w:r>
              <w:rPr>
                <w:rFonts w:ascii="Aptos" w:hAnsi="Aptos"/>
                <w:b/>
                <w:i w:val="0"/>
                <w:color w:val="FFFFFF"/>
                <w:sz w:val="17"/>
              </w:rPr>
              <w:t>Employees</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b w:val="0"/>
                <w:i w:val="0"/>
                <w:color w:val="202A34"/>
                <w:sz w:val="17"/>
              </w:rPr>
              <w:t>31 leaves</w:t>
            </w:r>
          </w:p>
        </w:tc>
        <w:tc>
          <w:tcPr>
            <w:tcW w:type="dxa" w:w="7992"/>
            <w:vAlign w:val="center"/>
            <w:tcMar>
              <w:top w:w="90" w:type="dxa"/>
              <w:start w:w="100" w:type="dxa"/>
              <w:bottom w:w="90" w:type="dxa"/>
              <w:end w:w="100" w:type="dxa"/>
            </w:tcMar>
          </w:tcPr>
          <w:p>
            <w:pPr>
              <w:spacing w:after="0" w:line="240" w:lineRule="auto"/>
            </w:pPr>
            <w:r/>
            <w:r>
              <w:rPr>
                <w:rFonts w:ascii="Aptos" w:hAnsi="Aptos"/>
                <w:b w:val="0"/>
                <w:i w:val="0"/>
                <w:color w:val="202A34"/>
                <w:sz w:val="17"/>
              </w:rPr>
              <w:t>Suvrajit Ghosh; Rupak Dey; Kajal Baran Makur; Riju Dev Purkayastha; Siddhartha Acharya; Ayan Mukherjee; Arindam Roy; Dhiraj Dipak Chaudhuri; Suman Saha.</w:t>
            </w:r>
          </w:p>
        </w:tc>
      </w:tr>
      <w:tr>
        <w:trPr>
          <w:cantSplit/>
        </w:trPr>
        <w:tc>
          <w:tcPr>
            <w:tcW w:type="dxa" w:w="2088"/>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20 leaves</w:t>
            </w:r>
          </w:p>
        </w:tc>
        <w:tc>
          <w:tcPr>
            <w:tcW w:type="dxa" w:w="7992"/>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7"/>
              </w:rPr>
              <w:t>Anik Mallick; Sunandan Ghosh; Tuhin Bal; Bishal Dutta; Rupangshu Dutta; Saptak Talukdar.</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b w:val="0"/>
                <w:i w:val="0"/>
                <w:color w:val="202A34"/>
                <w:sz w:val="17"/>
              </w:rPr>
              <w:t>No amount supplied</w:t>
            </w:r>
          </w:p>
        </w:tc>
        <w:tc>
          <w:tcPr>
            <w:tcW w:type="dxa" w:w="7992"/>
            <w:vAlign w:val="center"/>
            <w:tcMar>
              <w:top w:w="90" w:type="dxa"/>
              <w:start w:w="100" w:type="dxa"/>
              <w:bottom w:w="90" w:type="dxa"/>
              <w:end w:w="100" w:type="dxa"/>
            </w:tcMar>
          </w:tcPr>
          <w:p>
            <w:pPr>
              <w:spacing w:after="0" w:line="240" w:lineRule="auto"/>
            </w:pPr>
            <w:r/>
            <w:r>
              <w:rPr>
                <w:rFonts w:ascii="Aptos" w:hAnsi="Aptos"/>
                <w:b w:val="0"/>
                <w:i w:val="0"/>
                <w:color w:val="202A34"/>
                <w:sz w:val="17"/>
              </w:rPr>
              <w:t>Neetu bairagi; Saikat Sen; Amit Kumar; Anubhab Barik. These employees show an em dash for Allocated and Remaining.</w:t>
            </w:r>
          </w:p>
        </w:tc>
      </w:tr>
    </w:tbl>
    <w:p>
      <w:pPr>
        <w:spacing w:after="20"/>
      </w:pPr>
    </w:p>
    <w:p>
      <w:pPr>
        <w:pStyle w:val="Heading2"/>
      </w:pPr>
      <w:r>
        <w:t>Dynamic updates</w:t>
      </w:r>
    </w:p>
    <w:p>
      <w:pPr/>
      <w:r>
        <w:rPr>
          <w:rFonts w:ascii="Aptos" w:hAnsi="Aptos"/>
          <w:b w:val="0"/>
          <w:i w:val="0"/>
          <w:color w:val="202A34"/>
          <w:sz w:val="20"/>
        </w:rPr>
        <w:t>When a cell changes to Leave, the component inserts or replaces that employee/date in its in-memory year-to-date Leave list and rebuilds the row immediately. Changing that cell to another status removes the date from the Leave list, decreasing Leave and increasing Remaining. If the Apex save fails, both values return to their prior values.</w:t>
      </w:r>
    </w:p>
    <w:p>
      <w:pPr>
        <w:pStyle w:val="Heading2"/>
      </w:pPr>
      <w:r>
        <w:t>Current policy assumptions</w:t>
      </w:r>
    </w:p>
    <w:p>
      <w:pPr>
        <w:pStyle w:val="ListBullet"/>
      </w:pPr>
      <w:r>
        <w:rPr>
          <w:rFonts w:ascii="Aptos" w:hAnsi="Aptos"/>
          <w:b w:val="0"/>
          <w:i w:val="0"/>
          <w:color w:val="202A34"/>
          <w:sz w:val="19"/>
        </w:rPr>
        <w:t>The leave year is the calendar year, January through December. Selecting a month uses January through that month.</w:t>
      </w:r>
    </w:p>
    <w:p>
      <w:pPr>
        <w:pStyle w:val="ListBullet"/>
      </w:pPr>
      <w:r>
        <w:rPr>
          <w:rFonts w:ascii="Aptos" w:hAnsi="Aptos"/>
          <w:b w:val="0"/>
          <w:i w:val="0"/>
          <w:color w:val="202A34"/>
          <w:sz w:val="19"/>
        </w:rPr>
        <w:t>All Leave status records count as one day. The current model has no leave type, half-day unit, accrual, carry-forward or approval status.</w:t>
      </w:r>
    </w:p>
    <w:p>
      <w:pPr>
        <w:pStyle w:val="ListBullet"/>
      </w:pPr>
      <w:r>
        <w:rPr>
          <w:rFonts w:ascii="Aptos" w:hAnsi="Aptos"/>
          <w:b w:val="0"/>
          <w:i w:val="0"/>
          <w:color w:val="202A34"/>
          <w:sz w:val="19"/>
        </w:rPr>
        <w:t>An employee name change can break the JavaScript allocation match. Values below zero are not clamped.</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10080"/>
      </w:tblGrid>
      <w:tr>
        <w:tc>
          <w:tcPr>
            <w:tcW w:type="dxa" w:w="10166"/>
            <w:shd w:fill="EAF2F8"/>
            <w:tcMar>
              <w:top w:w="150" w:type="dxa"/>
              <w:start w:w="180" w:type="dxa"/>
              <w:bottom w:w="150" w:type="dxa"/>
              <w:end w:w="180" w:type="dxa"/>
            </w:tcMar>
          </w:tcPr>
          <w:p>
            <w:pPr>
              <w:spacing w:after="60"/>
            </w:pPr>
            <w:r>
              <w:rPr>
                <w:rFonts w:ascii="Aptos" w:hAnsi="Aptos"/>
                <w:b/>
                <w:i w:val="0"/>
                <w:color w:val="2F6690"/>
                <w:sz w:val="20"/>
              </w:rPr>
              <w:t>Recommended design direction</w:t>
            </w:r>
          </w:p>
          <w:p>
            <w:pPr>
              <w:spacing w:after="0" w:line="252" w:lineRule="auto"/>
            </w:pPr>
            <w:r>
              <w:rPr>
                <w:rFonts w:ascii="Aptos" w:hAnsi="Aptos"/>
                <w:b w:val="0"/>
                <w:i w:val="0"/>
                <w:color w:val="202A34"/>
                <w:sz w:val="19"/>
              </w:rPr>
              <w:t>For governed leave management, store entitlement by employee, leave type and leave year. Add leave requests for approval and a transaction history for grants, usage, adjustments and reversals. Keep Attendance__c as the daily attendance view, with approved leave synchronized to it.</w:t>
            </w:r>
          </w:p>
        </w:tc>
      </w:tr>
    </w:tbl>
    <w:p>
      <w:pPr>
        <w:spacing w:after="20"/>
      </w:pPr>
    </w:p>
    <w:p>
      <w:r>
        <w:br w:type="page"/>
      </w:r>
    </w:p>
    <w:p>
      <w:pPr>
        <w:pStyle w:val="Heading1"/>
      </w:pPr>
      <w:r>
        <w:t>Security and operational notes</w:t>
      </w:r>
    </w:p>
    <w:p>
      <w:pPr>
        <w:pStyle w:val="Heading2"/>
      </w:pPr>
      <w:r>
        <w:t>Access and record handling</w:t>
      </w:r>
    </w:p>
    <w:p>
      <w:pPr/>
      <w:r>
        <w:rPr>
          <w:rFonts w:ascii="Aptos" w:hAnsi="Aptos"/>
          <w:b w:val="0"/>
          <w:i w:val="0"/>
          <w:color w:val="202A34"/>
          <w:sz w:val="20"/>
        </w:rPr>
        <w:t>AttendanceController uses with sharing, so its record access follows Salesforce sharing rules. The class does not show explicit CRUD or field-level security checks; these should be reviewed against the org’s profiles, permission sets and intended user roles before production use.</w:t>
      </w:r>
    </w:p>
    <w:p>
      <w:pPr/>
      <w:r>
        <w:rPr>
          <w:rFonts w:ascii="Aptos" w:hAnsi="Aptos"/>
          <w:b w:val="0"/>
          <w:i w:val="0"/>
          <w:color w:val="243247"/>
          <w:sz w:val="19"/>
        </w:rPr>
        <w:t>The save method queries by Employee__c and Attendance_Date__c and then updates or inserts. The retrieved metadata confirms both are required (Employee__c is a Lookup and Attendance_Date__c is a Date), but there is no unique key or validation rule on the employee/date pair in the retrieved metadata. Two concurrent saves could still create duplicates unless server-side protection is added.</w:t>
      </w:r>
    </w:p>
    <w:p>
      <w:pPr>
        <w:pStyle w:val="Heading2"/>
      </w:pPr>
      <w:r>
        <w:t>Testing status in the repository</w:t>
      </w:r>
    </w:p>
    <w:p>
      <w:pPr/>
      <w:r>
        <w:rPr>
          <w:rFonts w:ascii="Aptos" w:hAnsi="Aptos"/>
          <w:b w:val="0"/>
          <w:i w:val="0"/>
          <w:color w:val="202A34"/>
          <w:sz w:val="20"/>
        </w:rPr>
        <w:t>The LWC test file contains a generated placeholder assertion only. No Apex test class appears in the checked-in source inventory. Before production deployment, add coverage for date boundaries, active employee filtering, holiday/weekend defaults, status changes, Leave year-to-date changes, rejected saves and duplicate employee/date handling.</w:t>
      </w:r>
    </w:p>
    <w:p>
      <w:pPr>
        <w:pStyle w:val="Heading2"/>
      </w:pPr>
      <w:r>
        <w:t>Deployment footprint</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2088"/>
        <w:gridCol w:w="3888"/>
        <w:gridCol w:w="4536"/>
      </w:tblGrid>
      <w:tr>
        <w:trPr>
          <w:tblHeader w:val="true"/>
          <w:cantSplit/>
        </w:trPr>
        <w:tc>
          <w:tcPr>
            <w:tcW w:type="dxa" w:w="2088"/>
            <w:shd w:fill="15304B"/>
            <w:vAlign w:val="center"/>
            <w:tcMar>
              <w:top w:w="90" w:type="dxa"/>
              <w:start w:w="100" w:type="dxa"/>
              <w:bottom w:w="90" w:type="dxa"/>
              <w:end w:w="100" w:type="dxa"/>
            </w:tcMar>
          </w:tcPr>
          <w:p>
            <w:pPr>
              <w:spacing w:after="20" w:before="20"/>
            </w:pPr>
            <w:r/>
            <w:r>
              <w:rPr>
                <w:rFonts w:ascii="Aptos" w:hAnsi="Aptos"/>
                <w:b/>
                <w:i w:val="0"/>
                <w:color w:val="FFFFFF"/>
                <w:sz w:val="16"/>
              </w:rPr>
              <w:t>Component</w:t>
            </w:r>
          </w:p>
        </w:tc>
        <w:tc>
          <w:tcPr>
            <w:tcW w:type="dxa" w:w="3888"/>
            <w:shd w:fill="15304B"/>
            <w:vAlign w:val="center"/>
            <w:tcMar>
              <w:top w:w="90" w:type="dxa"/>
              <w:start w:w="100" w:type="dxa"/>
              <w:bottom w:w="90" w:type="dxa"/>
              <w:end w:w="100" w:type="dxa"/>
            </w:tcMar>
          </w:tcPr>
          <w:p>
            <w:pPr>
              <w:spacing w:after="20" w:before="20"/>
            </w:pPr>
            <w:r/>
            <w:r>
              <w:rPr>
                <w:rFonts w:ascii="Aptos" w:hAnsi="Aptos"/>
                <w:b/>
                <w:i w:val="0"/>
                <w:color w:val="FFFFFF"/>
                <w:sz w:val="16"/>
              </w:rPr>
              <w:t>Metadata identity</w:t>
            </w:r>
          </w:p>
        </w:tc>
        <w:tc>
          <w:tcPr>
            <w:tcW w:type="dxa" w:w="4536"/>
            <w:shd w:fill="15304B"/>
            <w:vAlign w:val="center"/>
            <w:tcMar>
              <w:top w:w="90" w:type="dxa"/>
              <w:start w:w="100" w:type="dxa"/>
              <w:bottom w:w="90" w:type="dxa"/>
              <w:end w:w="100" w:type="dxa"/>
            </w:tcMar>
          </w:tcPr>
          <w:p>
            <w:pPr>
              <w:spacing w:after="20" w:before="20"/>
            </w:pPr>
            <w:r/>
            <w:r>
              <w:rPr>
                <w:rFonts w:ascii="Aptos" w:hAnsi="Aptos"/>
                <w:b/>
                <w:i w:val="0"/>
                <w:color w:val="FFFFFF"/>
                <w:sz w:val="16"/>
              </w:rPr>
              <w:t>Exposure, source or version</w:t>
            </w:r>
          </w:p>
        </w:tc>
      </w:tr>
      <w:tr>
        <w:trPr>
          <w:cantSplit/>
        </w:trPr>
        <w:tc>
          <w:tcPr>
            <w:tcW w:type="dxa" w:w="2088"/>
            <w:vAlign w:val="center"/>
          </w:tcPr>
          <w:p>
            <w:pPr>
              <w:spacing w:after="20" w:before="20"/>
            </w:pPr>
            <w:r/>
            <w:r>
              <w:rPr>
                <w:rFonts w:ascii="Aptos" w:hAnsi="Aptos"/>
                <w:b w:val="0"/>
                <w:i w:val="0"/>
                <w:color w:val="243247"/>
                <w:sz w:val="16"/>
              </w:rPr>
              <w:t>Apex controller</w:t>
            </w:r>
          </w:p>
        </w:tc>
        <w:tc>
          <w:tcPr>
            <w:tcW w:type="dxa" w:w="3888"/>
            <w:vAlign w:val="center"/>
          </w:tcPr>
          <w:p>
            <w:pPr>
              <w:spacing w:after="20" w:before="20"/>
            </w:pPr>
            <w:r/>
            <w:r>
              <w:rPr>
                <w:rFonts w:ascii="Aptos" w:hAnsi="Aptos"/>
                <w:b w:val="0"/>
                <w:i w:val="0"/>
                <w:color w:val="243247"/>
                <w:sz w:val="16"/>
              </w:rPr>
              <w:t>ApexClass:AttendanceController</w:t>
            </w:r>
          </w:p>
        </w:tc>
        <w:tc>
          <w:tcPr>
            <w:tcW w:type="dxa" w:w="4536"/>
            <w:vAlign w:val="center"/>
          </w:tcPr>
          <w:p>
            <w:pPr>
              <w:spacing w:after="20" w:before="20"/>
            </w:pPr>
            <w:r/>
            <w:r>
              <w:rPr>
                <w:rFonts w:ascii="Aptos" w:hAnsi="Aptos"/>
                <w:b w:val="0"/>
                <w:i w:val="0"/>
                <w:color w:val="243247"/>
                <w:sz w:val="16"/>
              </w:rPr>
              <w:t>API version 67.0; Active; declared public with sharing.</w:t>
            </w:r>
          </w:p>
        </w:tc>
      </w:tr>
      <w:tr>
        <w:trPr>
          <w:cantSplit/>
        </w:trPr>
        <w:tc>
          <w:tcPr>
            <w:tcW w:type="dxa" w:w="2088"/>
            <w:vAlign w:val="center"/>
          </w:tcPr>
          <w:p>
            <w:pPr>
              <w:spacing w:after="20" w:before="20"/>
            </w:pPr>
            <w:r/>
            <w:r>
              <w:rPr>
                <w:rFonts w:ascii="Aptos" w:hAnsi="Aptos"/>
                <w:b w:val="0"/>
                <w:i w:val="0"/>
                <w:color w:val="243247"/>
                <w:sz w:val="16"/>
              </w:rPr>
              <w:t>LWC bundle</w:t>
            </w:r>
          </w:p>
        </w:tc>
        <w:tc>
          <w:tcPr>
            <w:tcW w:type="dxa" w:w="3888"/>
            <w:vAlign w:val="center"/>
          </w:tcPr>
          <w:p>
            <w:pPr>
              <w:spacing w:after="20" w:before="20"/>
            </w:pPr>
            <w:r/>
            <w:r>
              <w:rPr>
                <w:rFonts w:ascii="Aptos" w:hAnsi="Aptos"/>
                <w:b w:val="0"/>
                <w:i w:val="0"/>
                <w:color w:val="243247"/>
                <w:sz w:val="16"/>
              </w:rPr>
              <w:t>LightningComponentBundle:attendanceMonthlyView</w:t>
            </w:r>
          </w:p>
        </w:tc>
        <w:tc>
          <w:tcPr>
            <w:tcW w:type="dxa" w:w="4536"/>
            <w:vAlign w:val="center"/>
          </w:tcPr>
          <w:p>
            <w:pPr>
              <w:spacing w:after="20" w:before="20"/>
            </w:pPr>
            <w:r/>
            <w:r>
              <w:rPr>
                <w:rFonts w:ascii="Aptos" w:hAnsi="Aptos"/>
                <w:b w:val="0"/>
                <w:i w:val="0"/>
                <w:color w:val="243247"/>
                <w:sz w:val="16"/>
              </w:rPr>
              <w:t>API version 67.0; Home Page and App Page targets.</w:t>
            </w:r>
          </w:p>
        </w:tc>
      </w:tr>
      <w:tr>
        <w:trPr>
          <w:cantSplit/>
        </w:trPr>
        <w:tc>
          <w:tcPr>
            <w:tcW w:type="dxa" w:w="2088"/>
            <w:vAlign w:val="center"/>
          </w:tcPr>
          <w:p>
            <w:pPr>
              <w:spacing w:after="20" w:before="20"/>
            </w:pPr>
            <w:r/>
            <w:r>
              <w:rPr>
                <w:rFonts w:ascii="Aptos" w:hAnsi="Aptos"/>
                <w:b w:val="0"/>
                <w:i w:val="0"/>
                <w:color w:val="243247"/>
                <w:sz w:val="16"/>
              </w:rPr>
              <w:t>Retrieved custom objects</w:t>
            </w:r>
          </w:p>
        </w:tc>
        <w:tc>
          <w:tcPr>
            <w:tcW w:type="dxa" w:w="3888"/>
            <w:vAlign w:val="center"/>
          </w:tcPr>
          <w:p>
            <w:pPr>
              <w:spacing w:after="20" w:before="20"/>
            </w:pPr>
            <w:r/>
            <w:r>
              <w:rPr>
                <w:rFonts w:ascii="Aptos" w:hAnsi="Aptos"/>
                <w:b w:val="0"/>
                <w:i w:val="0"/>
                <w:color w:val="243247"/>
                <w:sz w:val="16"/>
              </w:rPr>
              <w:t>CustomObject:Employee__c, Attendance__c, Holiday__c</w:t>
            </w:r>
          </w:p>
        </w:tc>
        <w:tc>
          <w:tcPr>
            <w:tcW w:type="dxa" w:w="4536"/>
            <w:vAlign w:val="center"/>
          </w:tcPr>
          <w:p>
            <w:pPr>
              <w:spacing w:after="20" w:before="20"/>
            </w:pPr>
            <w:r/>
            <w:r>
              <w:rPr>
                <w:rFonts w:ascii="Aptos" w:hAnsi="Aptos"/>
                <w:b w:val="0"/>
                <w:i w:val="0"/>
                <w:color w:val="243247"/>
                <w:sz w:val="16"/>
              </w:rPr>
              <w:t>Object and field XML are present locally; directories are untracked and CustomObject is absent from manifest/package.xml.</w:t>
            </w:r>
          </w:p>
        </w:tc>
      </w:tr>
    </w:tbl>
    <w:p>
      <w:pPr>
        <w:spacing w:after="20"/>
      </w:pPr>
    </w:p>
    <w:p>
      <w:pPr/>
      <w:r>
        <w:rPr>
          <w:rFonts w:ascii="Aptos" w:hAnsi="Aptos"/>
          <w:b/>
          <w:i w:val="0"/>
          <w:color w:val="202A34"/>
          <w:sz w:val="18"/>
        </w:rPr>
        <w:t>Selective CLI deployment from the Salesforce DX project root:</w:t>
      </w:r>
      <w:r>
        <w:rPr>
          <w:rFonts w:ascii="Aptos" w:hAnsi="Aptos"/>
          <w:b w:val="0"/>
          <w:i w:val="0"/>
          <w:color w:val="202A34"/>
          <w:sz w:val="18"/>
        </w:rPr>
      </w:r>
    </w:p>
    <w:tbl>
      <w:tblPr>
        <w:tblW w:type="auto" w:w="0"/>
        <w:jc w:val="center"/>
        <w:tblLayout w:type="fixed"/>
        <w:tblLook w:firstColumn="1" w:firstRow="1" w:lastColumn="0" w:lastRow="0" w:noHBand="0" w:noVBand="1" w:val="04A0"/>
        <w:tblBorders>
          <w:top w:val="single" w:sz="4" w:space="0" w:color="E0E6EB"/>
          <w:left w:val="single" w:sz="4" w:space="0" w:color="E0E6EB"/>
          <w:bottom w:val="single" w:sz="4" w:space="0" w:color="E0E6EB"/>
          <w:right w:val="single" w:sz="4" w:space="0" w:color="E0E6EB"/>
          <w:insideH w:val="single" w:sz="4" w:space="0" w:color="E0E6EB"/>
          <w:insideV w:val="single" w:sz="4" w:space="0" w:color="E0E6EB"/>
        </w:tblBorders>
      </w:tblPr>
      <w:tblGrid>
        <w:gridCol w:w="10080"/>
      </w:tblGrid>
      <w:tr>
        <w:tc>
          <w:tcPr>
            <w:tcW w:type="dxa" w:w="10166"/>
            <w:shd w:fill="F2F5F8"/>
            <w:tcMar>
              <w:top w:w="110" w:type="dxa"/>
              <w:start w:w="140" w:type="dxa"/>
              <w:bottom w:w="110" w:type="dxa"/>
              <w:end w:w="140" w:type="dxa"/>
            </w:tcMar>
          </w:tcPr>
          <w:p>
            <w:pPr>
              <w:pStyle w:val="CodeBlock"/>
            </w:pPr>
            <w:r/>
            <w:r>
              <w:rPr>
                <w:rFonts w:ascii="Consolas" w:hAnsi="Consolas"/>
                <w:b w:val="0"/>
                <w:i w:val="0"/>
                <w:color w:val="15304B"/>
                <w:sz w:val="16"/>
              </w:rPr>
              <w:t>sf project deploy start --metadata ApexClass:AttendanceController \</w:t>
            </w:r>
          </w:p>
          <w:p>
            <w:pPr>
              <w:pStyle w:val="CodeBlock"/>
            </w:pPr>
            <w:r>
              <w:rPr>
                <w:rFonts w:ascii="Consolas" w:hAnsi="Consolas"/>
                <w:b w:val="0"/>
                <w:i w:val="0"/>
                <w:color w:val="15304B"/>
                <w:sz w:val="16"/>
              </w:rPr>
              <w:t xml:space="preserve">  --metadata LightningComponentBundle:attendanceMonthlyView \</w:t>
            </w:r>
          </w:p>
          <w:p>
            <w:pPr>
              <w:pStyle w:val="CodeBlock"/>
            </w:pPr>
            <w:r>
              <w:rPr>
                <w:rFonts w:ascii="Consolas" w:hAnsi="Consolas"/>
                <w:b w:val="0"/>
                <w:i w:val="0"/>
                <w:color w:val="15304B"/>
                <w:sz w:val="16"/>
              </w:rPr>
              <w:t xml:space="preserve">  --target-org &lt;org-alias&gt;</w:t>
            </w:r>
          </w:p>
        </w:tc>
      </w:tr>
    </w:tbl>
    <w:p>
      <w:pPr>
        <w:spacing w:after="20"/>
      </w:pPr>
    </w:p>
    <w:p>
      <w:pPr/>
      <w:r>
        <w:rPr>
          <w:rFonts w:ascii="Aptos" w:hAnsi="Aptos"/>
          <w:b w:val="0"/>
          <w:i w:val="0"/>
          <w:color w:val="243247"/>
          <w:sz w:val="19"/>
        </w:rPr>
        <w:t>Replace &lt;org-alias&gt; with the authorized Salesforce CLI alias. This selective command deploys only the named Apex class and LWC; it does not deploy Employee__c, Attendance__c or Holiday__c metadata or any record rows. To deploy the retrieved object schema, include the object source directory in a reviewed deployment. Record data must be migrated separately with a data import/export process.</w:t>
      </w:r>
    </w:p>
    <w:p>
      <w:pPr>
        <w:pStyle w:val="Heading2"/>
      </w:pPr>
      <w:r>
        <w:t>Recommended next steps</w:t>
      </w:r>
    </w:p>
    <w:p>
      <w:pPr>
        <w:pStyle w:val="ListNumber"/>
      </w:pPr>
      <w:r>
        <w:rPr>
          <w:rFonts w:ascii="Aptos" w:hAnsi="Aptos"/>
          <w:b w:val="0"/>
          <w:i w:val="0"/>
          <w:color w:val="243247"/>
          <w:sz w:val="19"/>
        </w:rPr>
        <w:t>Add the already-retrieved object and field metadata to version control and decide whether the release should deploy it. Update the deployment manifest or use a source-directory deployment for the three custom-object folders; deploy schema separately from record data.</w:t>
      </w:r>
    </w:p>
    <w:p>
      <w:pPr>
        <w:pStyle w:val="ListNumber"/>
      </w:pPr>
      <w:r>
        <w:rPr>
          <w:rFonts w:ascii="Aptos" w:hAnsi="Aptos"/>
          <w:b w:val="0"/>
          <w:i w:val="0"/>
          <w:color w:val="202A34"/>
          <w:sz w:val="19"/>
        </w:rPr>
        <w:t>Confirm the employee/date uniqueness rule and add server-side protection against duplicate attendance rows.</w:t>
      </w:r>
    </w:p>
    <w:p>
      <w:pPr>
        <w:pStyle w:val="ListNumber"/>
      </w:pPr>
      <w:r>
        <w:rPr>
          <w:rFonts w:ascii="Aptos" w:hAnsi="Aptos"/>
          <w:b w:val="0"/>
          <w:i w:val="0"/>
          <w:color w:val="202A34"/>
          <w:sz w:val="19"/>
        </w:rPr>
        <w:t>Move leave entitlements out of the JavaScript name map and define leave types, leave-year boundaries and the treatment of pending, approved, cancelled and taken leave.</w:t>
      </w:r>
    </w:p>
    <w:p>
      <w:pPr>
        <w:pStyle w:val="ListNumber"/>
      </w:pPr>
      <w:r>
        <w:rPr>
          <w:rFonts w:ascii="Aptos" w:hAnsi="Aptos"/>
          <w:b w:val="0"/>
          <w:i w:val="0"/>
          <w:color w:val="202A34"/>
          <w:sz w:val="19"/>
        </w:rPr>
        <w:t>Add Apex and LWC tests for the read, save, count and rollback paths before a production release.</w:t>
      </w:r>
    </w:p>
    <w:p>
      <w:pPr>
        <w:pStyle w:val="ListNumber"/>
      </w:pPr>
      <w:r>
        <w:rPr>
          <w:rFonts w:ascii="Aptos" w:hAnsi="Aptos"/>
          <w:b w:val="0"/>
          <w:i w:val="0"/>
          <w:color w:val="202A34"/>
          <w:sz w:val="19"/>
        </w:rPr>
        <w:t>Review object permissions, field permissions and sharing for every intended attendance user.</w:t>
      </w:r>
    </w:p>
    <w:p>
      <w:r>
        <w:br w:type="page"/>
      </w:r>
    </w:p>
    <w:p>
      <w:pPr>
        <w:pStyle w:val="Heading1"/>
      </w:pPr>
      <w:r>
        <w:t>Source inventory</w:t>
      </w:r>
    </w:p>
    <w:p>
      <w:pPr/>
      <w:r>
        <w:rPr>
          <w:rFonts w:ascii="Aptos" w:hAnsi="Aptos"/>
          <w:b w:val="0"/>
          <w:i w:val="0"/>
          <w:color w:val="243247"/>
          <w:sz w:val="19"/>
        </w:rPr>
        <w:t>These local repository files define the implementation described in this POC. The custom-object metadata was retrieved from the Salesforce org and is present in the working tree, but its directories are not yet tracked by Git. No record-row export files were found in the project.</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5760"/>
        <w:gridCol w:w="4320"/>
      </w:tblGrid>
      <w:tr>
        <w:trPr>
          <w:tblHeader w:val="true"/>
          <w:cantSplit/>
        </w:trPr>
        <w:tc>
          <w:tcPr>
            <w:tcW w:type="dxa" w:w="5760"/>
            <w:shd w:fill="15304B"/>
            <w:vAlign w:val="center"/>
            <w:tcMar>
              <w:top w:w="90" w:type="dxa"/>
              <w:start w:w="100" w:type="dxa"/>
              <w:bottom w:w="90" w:type="dxa"/>
              <w:end w:w="100" w:type="dxa"/>
            </w:tcMar>
          </w:tcPr>
          <w:p>
            <w:pPr>
              <w:spacing w:after="20" w:before="20"/>
            </w:pPr>
            <w:r/>
            <w:r>
              <w:rPr>
                <w:rFonts w:ascii="Aptos" w:hAnsi="Aptos"/>
                <w:b/>
                <w:i w:val="0"/>
                <w:color w:val="FFFFFF"/>
                <w:sz w:val="16"/>
              </w:rPr>
              <w:t>Path relative to project root</w:t>
            </w:r>
          </w:p>
        </w:tc>
        <w:tc>
          <w:tcPr>
            <w:tcW w:type="dxa" w:w="4320"/>
            <w:shd w:fill="15304B"/>
            <w:vAlign w:val="center"/>
            <w:tcMar>
              <w:top w:w="90" w:type="dxa"/>
              <w:start w:w="100" w:type="dxa"/>
              <w:bottom w:w="90" w:type="dxa"/>
              <w:end w:w="100" w:type="dxa"/>
            </w:tcMar>
          </w:tcPr>
          <w:p>
            <w:pPr>
              <w:spacing w:after="20" w:before="20"/>
            </w:pPr>
            <w:r/>
            <w:r>
              <w:rPr>
                <w:rFonts w:ascii="Aptos" w:hAnsi="Aptos"/>
                <w:b/>
                <w:i w:val="0"/>
                <w:color w:val="FFFFFF"/>
                <w:sz w:val="16"/>
              </w:rPr>
              <w:t>Purpose</w:t>
            </w:r>
          </w:p>
        </w:tc>
      </w:tr>
      <w:tr>
        <w:trPr>
          <w:cantSplit/>
        </w:trPr>
        <w:tc>
          <w:tcPr>
            <w:tcW w:type="dxa" w:w="5760"/>
            <w:vAlign w:val="center"/>
          </w:tcPr>
          <w:p>
            <w:pPr>
              <w:spacing w:after="20" w:before="20"/>
            </w:pPr>
            <w:r/>
            <w:r>
              <w:rPr>
                <w:rFonts w:ascii="Aptos" w:hAnsi="Aptos"/>
                <w:b w:val="0"/>
                <w:i w:val="0"/>
                <w:color w:val="243247"/>
                <w:sz w:val="16"/>
              </w:rPr>
              <w:t>force-app/main/default/lwc/attendanceMonthlyView/attendanceMonthlyView.html</w:t>
            </w:r>
          </w:p>
        </w:tc>
        <w:tc>
          <w:tcPr>
            <w:tcW w:type="dxa" w:w="4320"/>
            <w:vAlign w:val="center"/>
          </w:tcPr>
          <w:p>
            <w:pPr>
              <w:spacing w:after="20" w:before="20"/>
            </w:pPr>
            <w:r/>
            <w:r>
              <w:rPr>
                <w:rFonts w:ascii="Aptos" w:hAnsi="Aptos"/>
                <w:b w:val="0"/>
                <w:i w:val="0"/>
                <w:color w:val="243247"/>
                <w:sz w:val="16"/>
              </w:rPr>
              <w:t>Component template, filters and attendance/leave summary columns.</w:t>
            </w:r>
          </w:p>
        </w:tc>
      </w:tr>
      <w:tr>
        <w:trPr>
          <w:cantSplit/>
        </w:trPr>
        <w:tc>
          <w:tcPr>
            <w:tcW w:type="dxa" w:w="5760"/>
            <w:vAlign w:val="center"/>
          </w:tcPr>
          <w:p>
            <w:pPr>
              <w:spacing w:after="20" w:before="20"/>
            </w:pPr>
            <w:r/>
            <w:r>
              <w:rPr>
                <w:rFonts w:ascii="Aptos" w:hAnsi="Aptos"/>
                <w:b w:val="0"/>
                <w:i w:val="0"/>
                <w:color w:val="243247"/>
                <w:sz w:val="16"/>
              </w:rPr>
              <w:t>force-app/main/default/lwc/attendanceMonthlyView/attendanceMonthlyView.js</w:t>
            </w:r>
          </w:p>
        </w:tc>
        <w:tc>
          <w:tcPr>
            <w:tcW w:type="dxa" w:w="4320"/>
            <w:vAlign w:val="center"/>
          </w:tcPr>
          <w:p>
            <w:pPr>
              <w:spacing w:after="20" w:before="20"/>
            </w:pPr>
            <w:r/>
            <w:r>
              <w:rPr>
                <w:rFonts w:ascii="Aptos" w:hAnsi="Aptos"/>
                <w:b w:val="0"/>
                <w:i w:val="0"/>
                <w:color w:val="243247"/>
                <w:sz w:val="16"/>
              </w:rPr>
              <w:t>LWC data loading, allocation map, counts and save behavior.</w:t>
            </w:r>
          </w:p>
        </w:tc>
      </w:tr>
      <w:tr>
        <w:trPr>
          <w:cantSplit/>
        </w:trPr>
        <w:tc>
          <w:tcPr>
            <w:tcW w:type="dxa" w:w="5760"/>
            <w:vAlign w:val="center"/>
          </w:tcPr>
          <w:p>
            <w:pPr>
              <w:spacing w:after="20" w:before="20"/>
            </w:pPr>
            <w:r/>
            <w:r>
              <w:rPr>
                <w:rFonts w:ascii="Aptos" w:hAnsi="Aptos"/>
                <w:b w:val="0"/>
                <w:i w:val="0"/>
                <w:color w:val="243247"/>
                <w:sz w:val="16"/>
              </w:rPr>
              <w:t>force-app/main/default/lwc/attendanceMonthlyView/attendanceMonthlyView.css</w:t>
            </w:r>
          </w:p>
        </w:tc>
        <w:tc>
          <w:tcPr>
            <w:tcW w:type="dxa" w:w="4320"/>
            <w:vAlign w:val="center"/>
          </w:tcPr>
          <w:p>
            <w:pPr>
              <w:spacing w:after="20" w:before="20"/>
            </w:pPr>
            <w:r/>
            <w:r>
              <w:rPr>
                <w:rFonts w:ascii="Aptos" w:hAnsi="Aptos"/>
                <w:b w:val="0"/>
                <w:i w:val="0"/>
                <w:color w:val="243247"/>
                <w:sz w:val="16"/>
              </w:rPr>
              <w:t>Grid layout, sticky areas, widths and status styling.</w:t>
            </w:r>
          </w:p>
        </w:tc>
      </w:tr>
      <w:tr>
        <w:trPr>
          <w:cantSplit/>
        </w:trPr>
        <w:tc>
          <w:tcPr>
            <w:tcW w:type="dxa" w:w="5760"/>
            <w:vAlign w:val="center"/>
          </w:tcPr>
          <w:p>
            <w:pPr>
              <w:spacing w:after="20" w:before="20"/>
            </w:pPr>
            <w:r/>
            <w:r>
              <w:rPr>
                <w:rFonts w:ascii="Aptos" w:hAnsi="Aptos"/>
                <w:b w:val="0"/>
                <w:i w:val="0"/>
                <w:color w:val="243247"/>
                <w:sz w:val="16"/>
              </w:rPr>
              <w:t>force-app/main/default/lwc/attendanceMonthlyView/attendanceMonthlyView.js-meta.xml</w:t>
            </w:r>
          </w:p>
        </w:tc>
        <w:tc>
          <w:tcPr>
            <w:tcW w:type="dxa" w:w="4320"/>
            <w:vAlign w:val="center"/>
          </w:tcPr>
          <w:p>
            <w:pPr>
              <w:spacing w:after="20" w:before="20"/>
            </w:pPr>
            <w:r/>
            <w:r>
              <w:rPr>
                <w:rFonts w:ascii="Aptos" w:hAnsi="Aptos"/>
                <w:b w:val="0"/>
                <w:i w:val="0"/>
                <w:color w:val="243247"/>
                <w:sz w:val="16"/>
              </w:rPr>
              <w:t>Component targets and API version.</w:t>
            </w:r>
          </w:p>
        </w:tc>
      </w:tr>
      <w:tr>
        <w:trPr>
          <w:cantSplit/>
        </w:trPr>
        <w:tc>
          <w:tcPr>
            <w:tcW w:type="dxa" w:w="5760"/>
            <w:vAlign w:val="center"/>
          </w:tcPr>
          <w:p>
            <w:pPr>
              <w:spacing w:after="20" w:before="20"/>
            </w:pPr>
            <w:r/>
            <w:r>
              <w:rPr>
                <w:rFonts w:ascii="Aptos" w:hAnsi="Aptos"/>
                <w:b w:val="0"/>
                <w:i w:val="0"/>
                <w:color w:val="243247"/>
                <w:sz w:val="16"/>
              </w:rPr>
              <w:t>force-app/main/default/classes/AttendanceController.cls</w:t>
            </w:r>
          </w:p>
        </w:tc>
        <w:tc>
          <w:tcPr>
            <w:tcW w:type="dxa" w:w="4320"/>
            <w:vAlign w:val="center"/>
          </w:tcPr>
          <w:p>
            <w:pPr>
              <w:spacing w:after="20" w:before="20"/>
            </w:pPr>
            <w:r/>
            <w:r>
              <w:rPr>
                <w:rFonts w:ascii="Aptos" w:hAnsi="Aptos"/>
                <w:b w:val="0"/>
                <w:i w:val="0"/>
                <w:color w:val="243247"/>
                <w:sz w:val="16"/>
              </w:rPr>
              <w:t>Apex queries, status validation and attendance upsert-like save.</w:t>
            </w:r>
          </w:p>
        </w:tc>
      </w:tr>
      <w:tr>
        <w:trPr>
          <w:cantSplit/>
        </w:trPr>
        <w:tc>
          <w:tcPr>
            <w:tcW w:type="dxa" w:w="5760"/>
            <w:vAlign w:val="center"/>
          </w:tcPr>
          <w:p>
            <w:pPr>
              <w:spacing w:after="20" w:before="20"/>
            </w:pPr>
            <w:r/>
            <w:r>
              <w:rPr>
                <w:rFonts w:ascii="Aptos" w:hAnsi="Aptos"/>
                <w:b w:val="0"/>
                <w:i w:val="0"/>
                <w:color w:val="243247"/>
                <w:sz w:val="16"/>
              </w:rPr>
              <w:t>force-app/main/default/objects/Employee__c/</w:t>
            </w:r>
          </w:p>
        </w:tc>
        <w:tc>
          <w:tcPr>
            <w:tcW w:type="dxa" w:w="4320"/>
            <w:vAlign w:val="center"/>
          </w:tcPr>
          <w:p>
            <w:pPr>
              <w:spacing w:after="20" w:before="20"/>
            </w:pPr>
            <w:r/>
            <w:r>
              <w:rPr>
                <w:rFonts w:ascii="Aptos" w:hAnsi="Aptos"/>
                <w:b w:val="0"/>
                <w:i w:val="0"/>
                <w:color w:val="243247"/>
                <w:sz w:val="16"/>
              </w:rPr>
              <w:t>Employee__c object definition, four custom field definitions and All list view.</w:t>
            </w:r>
          </w:p>
        </w:tc>
      </w:tr>
      <w:tr>
        <w:trPr>
          <w:cantSplit/>
        </w:trPr>
        <w:tc>
          <w:tcPr>
            <w:tcW w:type="dxa" w:w="5760"/>
            <w:vAlign w:val="center"/>
          </w:tcPr>
          <w:p>
            <w:pPr>
              <w:spacing w:after="20" w:before="20"/>
            </w:pPr>
            <w:r/>
            <w:r>
              <w:rPr>
                <w:rFonts w:ascii="Aptos" w:hAnsi="Aptos"/>
                <w:b w:val="0"/>
                <w:i w:val="0"/>
                <w:color w:val="243247"/>
                <w:sz w:val="16"/>
              </w:rPr>
              <w:t>force-app/main/default/objects/Attendance__c/</w:t>
            </w:r>
          </w:p>
        </w:tc>
        <w:tc>
          <w:tcPr>
            <w:tcW w:type="dxa" w:w="4320"/>
            <w:vAlign w:val="center"/>
          </w:tcPr>
          <w:p>
            <w:pPr>
              <w:spacing w:after="20" w:before="20"/>
            </w:pPr>
            <w:r/>
            <w:r>
              <w:rPr>
                <w:rFonts w:ascii="Aptos" w:hAnsi="Aptos"/>
                <w:b w:val="0"/>
                <w:i w:val="0"/>
                <w:color w:val="243247"/>
                <w:sz w:val="16"/>
              </w:rPr>
              <w:t>Attendance__c object definition, seven custom field definitions and All list view.</w:t>
            </w:r>
          </w:p>
        </w:tc>
      </w:tr>
      <w:tr>
        <w:trPr>
          <w:cantSplit/>
        </w:trPr>
        <w:tc>
          <w:tcPr>
            <w:tcW w:type="dxa" w:w="5760"/>
            <w:vAlign w:val="center"/>
          </w:tcPr>
          <w:p>
            <w:pPr>
              <w:spacing w:after="20" w:before="20"/>
            </w:pPr>
            <w:r/>
            <w:r>
              <w:rPr>
                <w:rFonts w:ascii="Aptos" w:hAnsi="Aptos"/>
                <w:b w:val="0"/>
                <w:i w:val="0"/>
                <w:color w:val="243247"/>
                <w:sz w:val="16"/>
              </w:rPr>
              <w:t>force-app/main/default/objects/Holiday__c/</w:t>
            </w:r>
          </w:p>
        </w:tc>
        <w:tc>
          <w:tcPr>
            <w:tcW w:type="dxa" w:w="4320"/>
            <w:vAlign w:val="center"/>
          </w:tcPr>
          <w:p>
            <w:pPr>
              <w:spacing w:after="20" w:before="20"/>
            </w:pPr>
            <w:r/>
            <w:r>
              <w:rPr>
                <w:rFonts w:ascii="Aptos" w:hAnsi="Aptos"/>
                <w:b w:val="0"/>
                <w:i w:val="0"/>
                <w:color w:val="243247"/>
                <w:sz w:val="16"/>
              </w:rPr>
              <w:t>Holiday__c object definition, three custom field definitions and All list view.</w:t>
            </w:r>
          </w:p>
        </w:tc>
      </w:tr>
      <w:tr>
        <w:trPr>
          <w:cantSplit/>
        </w:trPr>
        <w:tc>
          <w:tcPr>
            <w:tcW w:type="dxa" w:w="5760"/>
            <w:vAlign w:val="center"/>
          </w:tcPr>
          <w:p>
            <w:pPr>
              <w:spacing w:after="20" w:before="20"/>
            </w:pPr>
            <w:r/>
            <w:r>
              <w:rPr>
                <w:rFonts w:ascii="Aptos" w:hAnsi="Aptos"/>
                <w:b w:val="0"/>
                <w:i w:val="0"/>
                <w:color w:val="243247"/>
                <w:sz w:val="16"/>
              </w:rPr>
              <w:t>manifest/package.xml</w:t>
            </w:r>
          </w:p>
        </w:tc>
        <w:tc>
          <w:tcPr>
            <w:tcW w:type="dxa" w:w="4320"/>
            <w:vAlign w:val="center"/>
          </w:tcPr>
          <w:p>
            <w:pPr>
              <w:spacing w:after="20" w:before="20"/>
            </w:pPr>
            <w:r/>
            <w:r>
              <w:rPr>
                <w:rFonts w:ascii="Aptos" w:hAnsi="Aptos"/>
                <w:b w:val="0"/>
                <w:i w:val="0"/>
                <w:color w:val="243247"/>
                <w:sz w:val="16"/>
              </w:rPr>
              <w:t>Current metadata package list; no CustomObject type is declared.</w:t>
            </w:r>
          </w:p>
        </w:tc>
      </w:tr>
      <w:tr>
        <w:trPr>
          <w:cantSplit/>
        </w:trPr>
        <w:tc>
          <w:tcPr>
            <w:tcW w:type="dxa" w:w="5760"/>
            <w:vAlign w:val="center"/>
          </w:tcPr>
          <w:p>
            <w:pPr>
              <w:spacing w:after="20" w:before="20"/>
            </w:pPr>
            <w:r/>
            <w:r>
              <w:rPr>
                <w:rFonts w:ascii="Aptos" w:hAnsi="Aptos"/>
                <w:b w:val="0"/>
                <w:i w:val="0"/>
                <w:color w:val="243247"/>
                <w:sz w:val="16"/>
              </w:rPr>
              <w:t>.forceignore</w:t>
            </w:r>
          </w:p>
        </w:tc>
        <w:tc>
          <w:tcPr>
            <w:tcW w:type="dxa" w:w="4320"/>
            <w:vAlign w:val="center"/>
          </w:tcPr>
          <w:p>
            <w:pPr>
              <w:spacing w:after="20" w:before="20"/>
            </w:pPr>
            <w:r/>
            <w:r>
              <w:rPr>
                <w:rFonts w:ascii="Aptos" w:hAnsi="Aptos"/>
                <w:b w:val="0"/>
                <w:i w:val="0"/>
                <w:color w:val="243247"/>
                <w:sz w:val="16"/>
              </w:rPr>
              <w:t>Current ignore rules; custom-object source folders are not listed as ignored.</w:t>
            </w:r>
          </w:p>
        </w:tc>
      </w:tr>
    </w:tbl>
    <w:p>
      <w:pPr>
        <w:spacing w:after="20"/>
      </w:pPr>
    </w:p>
    <w:p>
      <w:pPr>
        <w:pStyle w:val="Heading2"/>
      </w:pPr>
      <w:r>
        <w:t>Glossary</w:t>
      </w:r>
    </w:p>
    <w:tbl>
      <w:tblPr>
        <w:tblW w:type="auto" w:w="0"/>
        <w:jc w:val="center"/>
        <w:tblLayout w:type="fixed"/>
        <w:tblLook w:firstColumn="1" w:firstRow="1" w:lastColumn="0" w:lastRow="0" w:noHBand="0" w:noVBand="1" w:val="04A0"/>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Pr>
      <w:tblGrid>
        <w:gridCol w:w="1656"/>
        <w:gridCol w:w="8424"/>
      </w:tblGrid>
      <w:tr>
        <w:trPr>
          <w:tblHeader w:val="true"/>
          <w:cantSplit/>
        </w:trPr>
        <w:tc>
          <w:tcPr>
            <w:tcW w:type="dxa" w:w="1656"/>
            <w:shd w:fill="2A7F83"/>
            <w:vAlign w:val="center"/>
            <w:tcMar>
              <w:top w:w="90" w:type="dxa"/>
              <w:start w:w="100" w:type="dxa"/>
              <w:bottom w:w="90" w:type="dxa"/>
              <w:end w:w="100" w:type="dxa"/>
            </w:tcMar>
          </w:tcPr>
          <w:p>
            <w:pPr>
              <w:spacing w:after="0" w:line="240" w:lineRule="auto"/>
            </w:pPr>
            <w:r/>
            <w:r>
              <w:rPr>
                <w:rFonts w:ascii="Aptos" w:hAnsi="Aptos"/>
                <w:b/>
                <w:i w:val="0"/>
                <w:color w:val="FFFFFF"/>
                <w:sz w:val="17"/>
              </w:rPr>
              <w:t>Term</w:t>
            </w:r>
          </w:p>
        </w:tc>
        <w:tc>
          <w:tcPr>
            <w:tcW w:type="dxa" w:w="8424"/>
            <w:shd w:fill="2A7F83"/>
            <w:vAlign w:val="center"/>
            <w:tcMar>
              <w:top w:w="90" w:type="dxa"/>
              <w:start w:w="100" w:type="dxa"/>
              <w:bottom w:w="90" w:type="dxa"/>
              <w:end w:w="100" w:type="dxa"/>
            </w:tcMar>
          </w:tcPr>
          <w:p>
            <w:pPr>
              <w:spacing w:after="0" w:line="240" w:lineRule="auto"/>
            </w:pPr>
            <w:r/>
            <w:r>
              <w:rPr>
                <w:rFonts w:ascii="Aptos" w:hAnsi="Aptos"/>
                <w:b/>
                <w:i w:val="0"/>
                <w:color w:val="FFFFFF"/>
                <w:sz w:val="17"/>
              </w:rPr>
              <w:t>Meaning in this POC</w:t>
            </w:r>
          </w:p>
        </w:tc>
      </w:tr>
      <w:tr>
        <w:trPr>
          <w:cantSplit/>
        </w:trPr>
        <w:tc>
          <w:tcPr>
            <w:tcW w:type="dxa" w:w="1656"/>
            <w:vAlign w:val="center"/>
            <w:tcMar>
              <w:top w:w="90" w:type="dxa"/>
              <w:start w:w="100" w:type="dxa"/>
              <w:bottom w:w="90" w:type="dxa"/>
              <w:end w:w="100" w:type="dxa"/>
            </w:tcMar>
          </w:tcPr>
          <w:p>
            <w:pPr>
              <w:spacing w:after="0" w:line="240" w:lineRule="auto"/>
            </w:pPr>
            <w:r/>
            <w:r>
              <w:rPr>
                <w:rFonts w:ascii="Aptos" w:hAnsi="Aptos"/>
                <w:b w:val="0"/>
                <w:i w:val="0"/>
                <w:color w:val="202A34"/>
                <w:sz w:val="16"/>
              </w:rPr>
              <w:t>LWC</w:t>
            </w:r>
          </w:p>
        </w:tc>
        <w:tc>
          <w:tcPr>
            <w:tcW w:type="dxa" w:w="8424"/>
            <w:vAlign w:val="center"/>
            <w:tcMar>
              <w:top w:w="90" w:type="dxa"/>
              <w:start w:w="100" w:type="dxa"/>
              <w:bottom w:w="90" w:type="dxa"/>
              <w:end w:w="100" w:type="dxa"/>
            </w:tcMar>
          </w:tcPr>
          <w:p>
            <w:pPr>
              <w:spacing w:after="0" w:line="240" w:lineRule="auto"/>
            </w:pPr>
            <w:r/>
            <w:r>
              <w:rPr>
                <w:rFonts w:ascii="Aptos" w:hAnsi="Aptos"/>
                <w:b w:val="0"/>
                <w:i w:val="0"/>
                <w:color w:val="202A34"/>
                <w:sz w:val="16"/>
              </w:rPr>
              <w:t>Lightning Web Component, the browser interface used inside Salesforce Lightning Experience.</w:t>
            </w:r>
          </w:p>
        </w:tc>
      </w:tr>
      <w:tr>
        <w:trPr>
          <w:cantSplit/>
        </w:trPr>
        <w:tc>
          <w:tcPr>
            <w:tcW w:type="dxa" w:w="1656"/>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Apex</w:t>
            </w:r>
          </w:p>
        </w:tc>
        <w:tc>
          <w:tcPr>
            <w:tcW w:type="dxa" w:w="842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Salesforce server-side language used here to query and save records.</w:t>
            </w:r>
          </w:p>
        </w:tc>
      </w:tr>
      <w:tr>
        <w:trPr>
          <w:cantSplit/>
        </w:trPr>
        <w:tc>
          <w:tcPr>
            <w:tcW w:type="dxa" w:w="1656"/>
            <w:vAlign w:val="center"/>
            <w:tcMar>
              <w:top w:w="90" w:type="dxa"/>
              <w:start w:w="100" w:type="dxa"/>
              <w:bottom w:w="90" w:type="dxa"/>
              <w:end w:w="100" w:type="dxa"/>
            </w:tcMar>
          </w:tcPr>
          <w:p>
            <w:pPr>
              <w:spacing w:after="0" w:line="240" w:lineRule="auto"/>
            </w:pPr>
            <w:r/>
            <w:r>
              <w:rPr>
                <w:rFonts w:ascii="Aptos" w:hAnsi="Aptos"/>
                <w:b w:val="0"/>
                <w:i w:val="0"/>
                <w:color w:val="202A34"/>
                <w:sz w:val="16"/>
              </w:rPr>
              <w:t>SOQL</w:t>
            </w:r>
          </w:p>
        </w:tc>
        <w:tc>
          <w:tcPr>
            <w:tcW w:type="dxa" w:w="8424"/>
            <w:vAlign w:val="center"/>
            <w:tcMar>
              <w:top w:w="90" w:type="dxa"/>
              <w:start w:w="100" w:type="dxa"/>
              <w:bottom w:w="90" w:type="dxa"/>
              <w:end w:w="100" w:type="dxa"/>
            </w:tcMar>
          </w:tcPr>
          <w:p>
            <w:pPr>
              <w:spacing w:after="0" w:line="240" w:lineRule="auto"/>
            </w:pPr>
            <w:r/>
            <w:r>
              <w:rPr>
                <w:rFonts w:ascii="Aptos" w:hAnsi="Aptos"/>
                <w:b w:val="0"/>
                <w:i w:val="0"/>
                <w:color w:val="202A34"/>
                <w:sz w:val="16"/>
              </w:rPr>
              <w:t>Salesforce Object Query Language used by the Apex controller.</w:t>
            </w:r>
          </w:p>
        </w:tc>
      </w:tr>
      <w:tr>
        <w:trPr>
          <w:cantSplit/>
        </w:trPr>
        <w:tc>
          <w:tcPr>
            <w:tcW w:type="dxa" w:w="1656"/>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__c</w:t>
            </w:r>
          </w:p>
        </w:tc>
        <w:tc>
          <w:tcPr>
            <w:tcW w:type="dxa" w:w="842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Suffix used for Salesforce custom objects and custom fields.</w:t>
            </w:r>
          </w:p>
        </w:tc>
      </w:tr>
      <w:tr>
        <w:trPr>
          <w:cantSplit/>
        </w:trPr>
        <w:tc>
          <w:tcPr>
            <w:tcW w:type="dxa" w:w="1656"/>
            <w:vAlign w:val="center"/>
            <w:tcMar>
              <w:top w:w="90" w:type="dxa"/>
              <w:start w:w="100" w:type="dxa"/>
              <w:bottom w:w="90" w:type="dxa"/>
              <w:end w:w="100" w:type="dxa"/>
            </w:tcMar>
          </w:tcPr>
          <w:p>
            <w:pPr>
              <w:spacing w:after="0" w:line="240" w:lineRule="auto"/>
            </w:pPr>
            <w:r/>
            <w:r>
              <w:rPr>
                <w:rFonts w:ascii="Aptos" w:hAnsi="Aptos"/>
                <w:b w:val="0"/>
                <w:i w:val="0"/>
                <w:color w:val="202A34"/>
                <w:sz w:val="16"/>
              </w:rPr>
              <w:t>__r</w:t>
            </w:r>
          </w:p>
        </w:tc>
        <w:tc>
          <w:tcPr>
            <w:tcW w:type="dxa" w:w="8424"/>
            <w:vAlign w:val="center"/>
            <w:tcMar>
              <w:top w:w="90" w:type="dxa"/>
              <w:start w:w="100" w:type="dxa"/>
              <w:bottom w:w="90" w:type="dxa"/>
              <w:end w:w="100" w:type="dxa"/>
            </w:tcMar>
          </w:tcPr>
          <w:p>
            <w:pPr>
              <w:spacing w:after="0" w:line="240" w:lineRule="auto"/>
            </w:pPr>
            <w:r/>
            <w:r>
              <w:rPr>
                <w:rFonts w:ascii="Aptos" w:hAnsi="Aptos"/>
                <w:b w:val="0"/>
                <w:i w:val="0"/>
                <w:color w:val="202A34"/>
                <w:sz w:val="16"/>
              </w:rPr>
              <w:t>Relationship traversal used to read a related record, such as Employee__r.Name.</w:t>
            </w:r>
          </w:p>
        </w:tc>
      </w:tr>
      <w:tr>
        <w:trPr>
          <w:cantSplit/>
        </w:trPr>
        <w:tc>
          <w:tcPr>
            <w:tcW w:type="dxa" w:w="1656"/>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YTD</w:t>
            </w:r>
          </w:p>
        </w:tc>
        <w:tc>
          <w:tcPr>
            <w:tcW w:type="dxa" w:w="8424"/>
            <w:shd w:fill="F3F5F7"/>
            <w:vAlign w:val="center"/>
            <w:tcMar>
              <w:top w:w="90" w:type="dxa"/>
              <w:start w:w="100" w:type="dxa"/>
              <w:bottom w:w="90" w:type="dxa"/>
              <w:end w:w="100" w:type="dxa"/>
            </w:tcMar>
          </w:tcPr>
          <w:p>
            <w:pPr>
              <w:spacing w:after="0" w:line="240" w:lineRule="auto"/>
            </w:pPr>
            <w:r/>
            <w:r>
              <w:rPr>
                <w:rFonts w:ascii="Aptos" w:hAnsi="Aptos"/>
                <w:b w:val="0"/>
                <w:i w:val="0"/>
                <w:color w:val="202A34"/>
                <w:sz w:val="16"/>
              </w:rPr>
              <w:t>Year to date. In this POC it means January 1 through the selected month’s final day.</w:t>
            </w:r>
          </w:p>
        </w:tc>
      </w:tr>
    </w:tbl>
    <w:p>
      <w:pPr>
        <w:spacing w:after="20"/>
      </w:pPr>
    </w:p>
    <w:sectPr w:rsidR="00FC693F" w:rsidRPr="0006063C" w:rsidSect="00034616">
      <w:headerReference w:type="default" r:id="rId9"/>
      <w:footerReference w:type="default" r:id="rId10"/>
      <w:footerReference w:type="first" r:id="rId11"/>
      <w:pgSz w:w="12240" w:h="15840"/>
      <w:pgMar w:top="1037" w:right="1037" w:bottom="979"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66575"/>
        <w:sz w:val="16"/>
      </w:rPr>
      <w:t xml:space="preserve">Attendance Tracker  •  </w:t>
    </w:r>
    <w:r>
      <w:rPr>
        <w:rFonts w:ascii="Aptos" w:hAnsi="Aptos"/>
        <w:b w:val="0"/>
        <w:i w:val="0"/>
        <w:color w:val="566575"/>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b w:val="0"/>
        <w:i w:val="0"/>
        <w:color w:val="566575"/>
        <w:sz w:val="16"/>
      </w:rPr>
      <w:t>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66575"/>
        <w:sz w:val="16"/>
      </w:rPr>
      <w:t>SELEGIC HR MANAGEMENT APP  |  TECHNICAL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04B"/>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6690"/>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2A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18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2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pPr>
    <w:rPr>
      <w:rFonts w:ascii="Consolas" w:hAnsi="Consolas"/>
      <w:color w:val="1530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Selegic HR Attendance Tracker Proof of Concept</dc:title>
  <dc:subject>LWC, Apex and Salesforce data model</dc:subject>
  <dc:creator>Selegic HR Management App</dc:creator>
  <cp:keywords>Salesforce, LWC, Apex, Attendance, POC</cp:keywords>
  <dc:description>POC documents retrieved Salesforce schema XML separately from live org record data.</dc:description>
  <cp:lastModifiedBy/>
  <cp:revision>1</cp:revision>
  <dcterms:created xsi:type="dcterms:W3CDTF">2013-12-23T23:15:00Z</dcterms:created>
  <dcterms:modified xsi:type="dcterms:W3CDTF">2013-12-23T23:15:00Z</dcterms:modified>
  <cp:category/>
</cp:coreProperties>
</file>