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1172A" w14:textId="1CB9DFEB" w:rsidR="00C87C6E" w:rsidRPr="00C87C6E" w:rsidRDefault="00C87C6E" w:rsidP="00C87C6E">
      <w:pPr>
        <w:spacing w:after="0"/>
        <w:jc w:val="center"/>
        <w:rPr>
          <w:b/>
          <w:bCs/>
        </w:rPr>
      </w:pPr>
      <w:r>
        <w:rPr>
          <w:b/>
          <w:bCs/>
        </w:rPr>
        <w:t xml:space="preserve">United Airlines </w:t>
      </w:r>
      <w:r w:rsidRPr="00C87C6E">
        <w:rPr>
          <w:b/>
          <w:bCs/>
        </w:rPr>
        <w:t>Strategic: A Case Study in Counter-Cyclical Asset Preservation</w:t>
      </w:r>
    </w:p>
    <w:p w14:paraId="22D7AC0E" w14:textId="77777777" w:rsidR="00C87C6E" w:rsidRDefault="00C87C6E" w:rsidP="00C87C6E">
      <w:pPr>
        <w:spacing w:after="0"/>
        <w:rPr>
          <w:b/>
          <w:bCs/>
        </w:rPr>
      </w:pPr>
    </w:p>
    <w:p w14:paraId="1C0250E5" w14:textId="1191D651" w:rsidR="00C87C6E" w:rsidRPr="00C87C6E" w:rsidRDefault="00C87C6E" w:rsidP="00C87C6E">
      <w:pPr>
        <w:spacing w:after="0"/>
        <w:rPr>
          <w:b/>
          <w:bCs/>
        </w:rPr>
      </w:pPr>
      <w:r w:rsidRPr="00C87C6E">
        <w:rPr>
          <w:b/>
          <w:bCs/>
        </w:rPr>
        <w:t>1. The Crisis Context: Operational Paralysis and the $33M Daily Deficit</w:t>
      </w:r>
    </w:p>
    <w:p w14:paraId="470E7B02" w14:textId="77777777" w:rsidR="00C87C6E" w:rsidRDefault="00C87C6E" w:rsidP="00C87C6E">
      <w:pPr>
        <w:spacing w:after="0"/>
      </w:pPr>
    </w:p>
    <w:p w14:paraId="1FE6223C" w14:textId="4AAF6DA7" w:rsidR="00C87C6E" w:rsidRPr="00C87C6E" w:rsidRDefault="00C87C6E" w:rsidP="00C87C6E">
      <w:pPr>
        <w:spacing w:after="0"/>
      </w:pPr>
      <w:r w:rsidRPr="00C87C6E">
        <w:t xml:space="preserve">The 2020 global travel freeze presented a survival threat unprecedented in the history of modern aviation. As international boundaries closed and passenger volumes plummeted by 95% overnight, heavy-asset industries were plunged into a state of zero load-factor environments. In such high-stakes volatility, the standard corporate playbook often dictates aggressive structural downsizing—permanently shedding assets and </w:t>
      </w:r>
      <w:proofErr w:type="spellStart"/>
      <w:r w:rsidRPr="00C87C6E">
        <w:t>labor</w:t>
      </w:r>
      <w:proofErr w:type="spellEnd"/>
      <w:r w:rsidRPr="00C87C6E">
        <w:t xml:space="preserve"> to stem the tide of outgoing capital. However, for a high-leverage industry like aviation, these </w:t>
      </w:r>
      <w:proofErr w:type="spellStart"/>
      <w:r w:rsidRPr="00C87C6E">
        <w:t>maneuvers</w:t>
      </w:r>
      <w:proofErr w:type="spellEnd"/>
      <w:r w:rsidRPr="00C87C6E">
        <w:t xml:space="preserve"> often represent a "liquidity trap." Immediate downsizing results in the permanent loss of pilot seniority, airport slots, and international route authorities—intangible assets that are nearly impossible to reclaim quickly when the cycle turns.</w:t>
      </w:r>
    </w:p>
    <w:p w14:paraId="07C1C550" w14:textId="77777777" w:rsidR="00C87C6E" w:rsidRDefault="00C87C6E" w:rsidP="00C87C6E">
      <w:pPr>
        <w:spacing w:after="0"/>
      </w:pPr>
      <w:r w:rsidRPr="00C87C6E">
        <w:t xml:space="preserve">For United Airlines, the scale of this collapse was catastrophic. By May 2020, the airline was contending with an unsustainable peak daily cash burn of $33 million, driven by fixed operational maintenance and aircraft leasing fees that remained constant even as revenue vanished. </w:t>
      </w:r>
    </w:p>
    <w:p w14:paraId="3BEB3288" w14:textId="77777777" w:rsidR="00C87C6E" w:rsidRDefault="00C87C6E" w:rsidP="00C87C6E">
      <w:pPr>
        <w:spacing w:after="0"/>
      </w:pPr>
    </w:p>
    <w:p w14:paraId="5ABC09E3" w14:textId="2FBB34F4" w:rsidR="00C87C6E" w:rsidRPr="00C87C6E" w:rsidRDefault="00C87C6E" w:rsidP="00C87C6E">
      <w:pPr>
        <w:spacing w:after="0"/>
      </w:pPr>
      <w:r w:rsidRPr="00C87C6E">
        <w:t>Management stood at a critical strategic crossroads: they could follow the industry trend of fleet liquidation to preserve short-term solvency, or double down on asset preservation to secure long-term competitive dominance. The "So What?" of this choice was clear: a downsized airline would survive the winter but would be structurally incapable of capturing the summer of the recovery.</w:t>
      </w:r>
    </w:p>
    <w:p w14:paraId="62B2B13B" w14:textId="77777777" w:rsidR="00C87C6E" w:rsidRDefault="00C87C6E" w:rsidP="00C87C6E">
      <w:pPr>
        <w:spacing w:after="0"/>
      </w:pPr>
    </w:p>
    <w:p w14:paraId="7AD4207E" w14:textId="48FE6698" w:rsidR="00C87C6E" w:rsidRPr="00C87C6E" w:rsidRDefault="00C87C6E" w:rsidP="00C87C6E">
      <w:pPr>
        <w:spacing w:after="0"/>
      </w:pPr>
      <w:r w:rsidRPr="00C87C6E">
        <w:t>Recognizing that survival required a rejection of conventional retrenchment, United moved from diagnostic analysis to a radical operational intervention designed to protect its core infrastructure through innovative liquidity preservation.</w:t>
      </w:r>
    </w:p>
    <w:p w14:paraId="105DD177" w14:textId="77777777" w:rsidR="00C87C6E" w:rsidRDefault="00C87C6E" w:rsidP="00C87C6E">
      <w:pPr>
        <w:spacing w:after="0"/>
        <w:rPr>
          <w:b/>
          <w:bCs/>
        </w:rPr>
      </w:pPr>
    </w:p>
    <w:p w14:paraId="36EF6DD2" w14:textId="46F06BA1" w:rsidR="00C87C6E" w:rsidRPr="00C87C6E" w:rsidRDefault="00C87C6E" w:rsidP="00C87C6E">
      <w:pPr>
        <w:spacing w:after="0"/>
        <w:rPr>
          <w:b/>
          <w:bCs/>
        </w:rPr>
      </w:pPr>
      <w:r w:rsidRPr="00C87C6E">
        <w:rPr>
          <w:b/>
          <w:bCs/>
        </w:rPr>
        <w:t>2. The Logic of Asset Hoarding: Widebody Preservation as a Competitive Moat</w:t>
      </w:r>
    </w:p>
    <w:p w14:paraId="71AB4F66" w14:textId="77777777" w:rsidR="00C87C6E" w:rsidRDefault="00C87C6E" w:rsidP="00C87C6E">
      <w:pPr>
        <w:spacing w:after="0"/>
      </w:pPr>
    </w:p>
    <w:p w14:paraId="1A54E86F" w14:textId="34851CB6" w:rsidR="00C87C6E" w:rsidRPr="00C87C6E" w:rsidRDefault="00C87C6E" w:rsidP="00C87C6E">
      <w:pPr>
        <w:spacing w:after="0"/>
      </w:pPr>
      <w:r w:rsidRPr="00C87C6E">
        <w:t xml:space="preserve">In the aviation sector, capacity readiness is the primary driver of market share during a demand rebound. While "hoarding" long-haul, high-capacity assets during a downturn is a high-risk </w:t>
      </w:r>
      <w:proofErr w:type="spellStart"/>
      <w:r w:rsidRPr="00C87C6E">
        <w:t>maneuver</w:t>
      </w:r>
      <w:proofErr w:type="spellEnd"/>
      <w:r w:rsidRPr="00C87C6E">
        <w:t>, it serves as a powerful counter-cyclical tool. United elected to maintain its entire widebody fleet in "high-readiness storage," absorbing heavy ongoing holding fees to ensure these aircraft could be "woken up" instantly. To finance this massive preservation effort, United utilized a record-breaking $3 Billion Enhanced Equipment Trust Certificate (EETC) deal, underwritten by Goldman Sachs, Citigroup, and Credit Suisse.</w:t>
      </w:r>
    </w:p>
    <w:p w14:paraId="2489117B" w14:textId="77777777" w:rsidR="00C87C6E" w:rsidRDefault="00C87C6E" w:rsidP="00C87C6E">
      <w:pPr>
        <w:spacing w:after="0"/>
      </w:pPr>
    </w:p>
    <w:p w14:paraId="4665A751" w14:textId="7C46005E" w:rsidR="00C87C6E" w:rsidRPr="00C87C6E" w:rsidRDefault="00C87C6E" w:rsidP="00C87C6E">
      <w:pPr>
        <w:spacing w:after="0"/>
      </w:pPr>
      <w:r w:rsidRPr="00C87C6E">
        <w:t>This strategy stood in direct opposition to the "Fleet Liquidation" playbook adopted by major rivals who prioritized immediate overhead reduction:</w:t>
      </w:r>
    </w:p>
    <w:p w14:paraId="44D0A2B8" w14:textId="77777777" w:rsidR="00C87C6E" w:rsidRPr="00C87C6E" w:rsidRDefault="00C87C6E" w:rsidP="00C87C6E">
      <w:pPr>
        <w:numPr>
          <w:ilvl w:val="0"/>
          <w:numId w:val="1"/>
        </w:numPr>
        <w:spacing w:after="0"/>
      </w:pPr>
      <w:r w:rsidRPr="00C87C6E">
        <w:rPr>
          <w:b/>
          <w:bCs/>
        </w:rPr>
        <w:t>Delta Air Lines:</w:t>
      </w:r>
      <w:r w:rsidRPr="00C87C6E">
        <w:t xml:space="preserve"> Permanently retired its entire Boeing 777 fleet.</w:t>
      </w:r>
    </w:p>
    <w:p w14:paraId="12FF53F3" w14:textId="77777777" w:rsidR="00C87C6E" w:rsidRPr="00C87C6E" w:rsidRDefault="00C87C6E" w:rsidP="00C87C6E">
      <w:pPr>
        <w:numPr>
          <w:ilvl w:val="0"/>
          <w:numId w:val="1"/>
        </w:numPr>
        <w:spacing w:after="0"/>
      </w:pPr>
      <w:r w:rsidRPr="00C87C6E">
        <w:rPr>
          <w:b/>
          <w:bCs/>
        </w:rPr>
        <w:t>American Airlines:</w:t>
      </w:r>
      <w:r w:rsidRPr="00C87C6E">
        <w:t xml:space="preserve"> Executed the liquidation of its Boeing 757 and 767 fleets, alongside its Airbus A330s.</w:t>
      </w:r>
    </w:p>
    <w:p w14:paraId="6844425A" w14:textId="77777777" w:rsidR="00C87C6E" w:rsidRPr="00C87C6E" w:rsidRDefault="00C87C6E" w:rsidP="00C87C6E">
      <w:pPr>
        <w:numPr>
          <w:ilvl w:val="0"/>
          <w:numId w:val="1"/>
        </w:numPr>
        <w:spacing w:after="0"/>
      </w:pPr>
      <w:r w:rsidRPr="00C87C6E">
        <w:rPr>
          <w:b/>
          <w:bCs/>
        </w:rPr>
        <w:t>International Carriers:</w:t>
      </w:r>
      <w:r w:rsidRPr="00C87C6E">
        <w:t xml:space="preserve"> Many prominent global peers permanently retired legacy Boeing 747 fleets to protect immediate liquidity.</w:t>
      </w:r>
    </w:p>
    <w:p w14:paraId="2A426863" w14:textId="77777777" w:rsidR="00C87C6E" w:rsidRDefault="00C87C6E" w:rsidP="00C87C6E">
      <w:pPr>
        <w:spacing w:after="0"/>
      </w:pPr>
    </w:p>
    <w:p w14:paraId="51D91835" w14:textId="77777777" w:rsidR="00C87C6E" w:rsidRDefault="00C87C6E">
      <w:r>
        <w:br w:type="page"/>
      </w:r>
    </w:p>
    <w:p w14:paraId="1DB275ED" w14:textId="541201BA" w:rsidR="00C87C6E" w:rsidRPr="00C87C6E" w:rsidRDefault="00C87C6E" w:rsidP="00C87C6E">
      <w:pPr>
        <w:spacing w:after="0"/>
      </w:pPr>
      <w:r w:rsidRPr="00C87C6E">
        <w:lastRenderedPageBreak/>
        <w:t>The strategic significance of this decision was the creation of a "Time-to-Market" advantage. By keeping its planes "awake," United bypassed the post-lockdown manufacturing delays and supply chain constraints that hobbled its peers. When demand returned, United was the only carrier with the ready-to-fly capacity to capture 36 active transatlantic destinations. While rivals waited for new deliveries, United leveraged its preserved fleet to achieve absolute dominance in high-yield international corridors.</w:t>
      </w:r>
    </w:p>
    <w:p w14:paraId="40645E61" w14:textId="77777777" w:rsidR="00C87C6E" w:rsidRDefault="00C87C6E" w:rsidP="00C87C6E">
      <w:pPr>
        <w:spacing w:after="0"/>
        <w:rPr>
          <w:b/>
          <w:bCs/>
        </w:rPr>
      </w:pPr>
    </w:p>
    <w:p w14:paraId="6262C8E8" w14:textId="285AD9DB" w:rsidR="00C87C6E" w:rsidRPr="00C87C6E" w:rsidRDefault="00C87C6E" w:rsidP="00C87C6E">
      <w:pPr>
        <w:spacing w:after="0"/>
        <w:rPr>
          <w:b/>
          <w:bCs/>
        </w:rPr>
      </w:pPr>
      <w:r w:rsidRPr="00C87C6E">
        <w:rPr>
          <w:b/>
          <w:bCs/>
        </w:rPr>
        <w:t>3. Financial Engineering: Strategic Asset Segregation and Liquidity Generation</w:t>
      </w:r>
    </w:p>
    <w:p w14:paraId="50C2E099" w14:textId="77777777" w:rsidR="00C87C6E" w:rsidRDefault="00C87C6E" w:rsidP="00C87C6E">
      <w:pPr>
        <w:spacing w:after="0"/>
      </w:pPr>
    </w:p>
    <w:p w14:paraId="02C254E3" w14:textId="65859570" w:rsidR="00C87C6E" w:rsidRPr="00C87C6E" w:rsidRDefault="00C87C6E" w:rsidP="00C87C6E">
      <w:pPr>
        <w:spacing w:after="0"/>
      </w:pPr>
      <w:r w:rsidRPr="00C87C6E">
        <w:t>During a severe credit crunch, a turnaround strategist must identify and isolate intangible assets to generate liquidity without sacrificing physical infrastructure. United’s management identified that while passenger cabins were empty, the data and co-branded revenue streams of the MileagePlus loyalty program remained highly valuable. Under the strategic guidance of Moelis &amp; Co., United mathematically segregated the program into a standalone subsidiary to serve as structural debt collateral.</w:t>
      </w:r>
    </w:p>
    <w:p w14:paraId="308C3A73" w14:textId="77777777" w:rsidR="00C87C6E" w:rsidRDefault="00C87C6E" w:rsidP="00C87C6E">
      <w:pPr>
        <w:spacing w:after="0"/>
      </w:pPr>
    </w:p>
    <w:p w14:paraId="743F2B74" w14:textId="5F2F3189" w:rsidR="00C87C6E" w:rsidRPr="00C87C6E" w:rsidRDefault="00C87C6E" w:rsidP="00C87C6E">
      <w:pPr>
        <w:spacing w:after="0"/>
      </w:pPr>
      <w:r w:rsidRPr="00C87C6E">
        <w:t>This historic arrangement allowed United to access private capital markets by offering a clear, data-backed revenue stream to investors wary of the broader aviation sector's volatility.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095"/>
        <w:gridCol w:w="5355"/>
      </w:tblGrid>
      <w:tr w:rsidR="00C87C6E" w:rsidRPr="00C87C6E" w14:paraId="63C11ADD" w14:textId="77777777" w:rsidTr="00C87C6E">
        <w:tc>
          <w:tcPr>
            <w:tcW w:w="2438" w:type="pct"/>
            <w:tcBorders>
              <w:top w:val="outset" w:sz="6" w:space="0" w:color="auto"/>
              <w:left w:val="outset" w:sz="6" w:space="0" w:color="auto"/>
              <w:bottom w:val="outset" w:sz="6" w:space="0" w:color="auto"/>
              <w:right w:val="outset" w:sz="6" w:space="0" w:color="auto"/>
            </w:tcBorders>
            <w:vAlign w:val="center"/>
            <w:hideMark/>
          </w:tcPr>
          <w:p w14:paraId="3672FAAD" w14:textId="77777777" w:rsidR="00C87C6E" w:rsidRPr="00C87C6E" w:rsidRDefault="00C87C6E" w:rsidP="00C87C6E">
            <w:pPr>
              <w:spacing w:after="0"/>
            </w:pPr>
            <w:r w:rsidRPr="00C87C6E">
              <w:t>Mechanism: Loyalty Asset Segregation</w:t>
            </w:r>
          </w:p>
        </w:tc>
        <w:tc>
          <w:tcPr>
            <w:tcW w:w="2562" w:type="pct"/>
            <w:tcBorders>
              <w:top w:val="outset" w:sz="6" w:space="0" w:color="auto"/>
              <w:left w:val="outset" w:sz="6" w:space="0" w:color="auto"/>
              <w:bottom w:val="outset" w:sz="6" w:space="0" w:color="auto"/>
              <w:right w:val="outset" w:sz="6" w:space="0" w:color="auto"/>
            </w:tcBorders>
            <w:vAlign w:val="center"/>
            <w:hideMark/>
          </w:tcPr>
          <w:p w14:paraId="7407A13A" w14:textId="77777777" w:rsidR="00C87C6E" w:rsidRPr="00C87C6E" w:rsidRDefault="00C87C6E" w:rsidP="00C87C6E">
            <w:pPr>
              <w:spacing w:after="0"/>
            </w:pPr>
            <w:r w:rsidRPr="00C87C6E">
              <w:t>Partners &amp; Strategic Result</w:t>
            </w:r>
          </w:p>
        </w:tc>
      </w:tr>
      <w:tr w:rsidR="00C87C6E" w:rsidRPr="00C87C6E" w14:paraId="4A96AE74" w14:textId="77777777" w:rsidTr="00C87C6E">
        <w:tc>
          <w:tcPr>
            <w:tcW w:w="2438" w:type="pct"/>
            <w:tcBorders>
              <w:top w:val="outset" w:sz="6" w:space="0" w:color="auto"/>
              <w:left w:val="outset" w:sz="6" w:space="0" w:color="auto"/>
              <w:bottom w:val="outset" w:sz="6" w:space="0" w:color="auto"/>
              <w:right w:val="outset" w:sz="6" w:space="0" w:color="auto"/>
            </w:tcBorders>
            <w:vAlign w:val="center"/>
            <w:hideMark/>
          </w:tcPr>
          <w:p w14:paraId="0230869A" w14:textId="77777777" w:rsidR="00C87C6E" w:rsidRPr="00C87C6E" w:rsidRDefault="00C87C6E" w:rsidP="00C87C6E">
            <w:pPr>
              <w:spacing w:after="0"/>
            </w:pPr>
            <w:r w:rsidRPr="00C87C6E">
              <w:rPr>
                <w:b/>
                <w:bCs/>
              </w:rPr>
              <w:t>Standalone Subsidiary Structure:</w:t>
            </w:r>
            <w:r w:rsidRPr="00C87C6E">
              <w:t xml:space="preserve"> Isolated the MileagePlus program to serve as standalone collateral for private debt.</w:t>
            </w:r>
          </w:p>
        </w:tc>
        <w:tc>
          <w:tcPr>
            <w:tcW w:w="2562" w:type="pct"/>
            <w:tcBorders>
              <w:top w:val="outset" w:sz="6" w:space="0" w:color="auto"/>
              <w:left w:val="outset" w:sz="6" w:space="0" w:color="auto"/>
              <w:bottom w:val="outset" w:sz="6" w:space="0" w:color="auto"/>
              <w:right w:val="outset" w:sz="6" w:space="0" w:color="auto"/>
            </w:tcBorders>
            <w:vAlign w:val="center"/>
            <w:hideMark/>
          </w:tcPr>
          <w:p w14:paraId="52C155A5" w14:textId="77777777" w:rsidR="00C87C6E" w:rsidRDefault="00C87C6E" w:rsidP="00C87C6E">
            <w:pPr>
              <w:spacing w:after="0"/>
            </w:pPr>
            <w:r w:rsidRPr="00C87C6E">
              <w:rPr>
                <w:b/>
                <w:bCs/>
              </w:rPr>
              <w:t>Advisory:</w:t>
            </w:r>
            <w:r w:rsidRPr="00C87C6E">
              <w:t xml:space="preserve"> Moelis &amp; Co. (Capital Market Strategy)</w:t>
            </w:r>
          </w:p>
          <w:p w14:paraId="44D5451C" w14:textId="750B6F7F" w:rsidR="00C87C6E" w:rsidRDefault="00C87C6E" w:rsidP="00C87C6E">
            <w:pPr>
              <w:spacing w:after="0"/>
            </w:pPr>
            <w:r w:rsidRPr="00C87C6E">
              <w:rPr>
                <w:b/>
                <w:bCs/>
              </w:rPr>
              <w:t>Underwriters:</w:t>
            </w:r>
            <w:r w:rsidRPr="00C87C6E">
              <w:t xml:space="preserve"> Goldman Sachs, Barclays, Morgan Stanley </w:t>
            </w:r>
          </w:p>
          <w:p w14:paraId="1AA86E28" w14:textId="45400A3B" w:rsidR="00C87C6E" w:rsidRPr="00C87C6E" w:rsidRDefault="00C87C6E" w:rsidP="00C87C6E">
            <w:pPr>
              <w:spacing w:after="0"/>
            </w:pPr>
            <w:r w:rsidRPr="00C87C6E">
              <w:rPr>
                <w:b/>
                <w:bCs/>
              </w:rPr>
              <w:t>Result:</w:t>
            </w:r>
            <w:r w:rsidRPr="00C87C6E">
              <w:t xml:space="preserve"> Secured </w:t>
            </w:r>
            <w:r w:rsidRPr="00C87C6E">
              <w:rPr>
                <w:b/>
                <w:bCs/>
              </w:rPr>
              <w:t>$6.8 Billion</w:t>
            </w:r>
            <w:r w:rsidRPr="00C87C6E">
              <w:t xml:space="preserve"> in private capital.</w:t>
            </w:r>
          </w:p>
        </w:tc>
      </w:tr>
    </w:tbl>
    <w:p w14:paraId="5427AC15" w14:textId="77777777" w:rsidR="00C87C6E" w:rsidRDefault="00C87C6E" w:rsidP="00C87C6E">
      <w:pPr>
        <w:spacing w:after="0"/>
      </w:pPr>
    </w:p>
    <w:p w14:paraId="11AF7248" w14:textId="0EAB13EA" w:rsidR="00C87C6E" w:rsidRPr="00C87C6E" w:rsidRDefault="00C87C6E" w:rsidP="00C87C6E">
      <w:pPr>
        <w:spacing w:after="0"/>
      </w:pPr>
      <w:r w:rsidRPr="00C87C6E">
        <w:t>This intervention served as a critical safety net. The $6.8 billion in secured capital eliminated immediate insolvency risk and, crucially, removed the financial pressure to liquidate the widebody fleet. By shielding the physical assets with an intangible financial shield, United ensured its order book remained intact, providing the liquidity necessary to pivot operations toward the cargo sector.</w:t>
      </w:r>
    </w:p>
    <w:p w14:paraId="0C13E946" w14:textId="77777777" w:rsidR="00C87C6E" w:rsidRDefault="00C87C6E" w:rsidP="00C87C6E">
      <w:pPr>
        <w:spacing w:after="0"/>
        <w:rPr>
          <w:b/>
          <w:bCs/>
        </w:rPr>
      </w:pPr>
    </w:p>
    <w:p w14:paraId="12BFFB57" w14:textId="75139A50" w:rsidR="00C87C6E" w:rsidRPr="00C87C6E" w:rsidRDefault="00C87C6E" w:rsidP="00C87C6E">
      <w:pPr>
        <w:spacing w:after="0"/>
        <w:rPr>
          <w:b/>
          <w:bCs/>
        </w:rPr>
      </w:pPr>
      <w:r w:rsidRPr="00C87C6E">
        <w:rPr>
          <w:b/>
          <w:bCs/>
        </w:rPr>
        <w:t>4. The 7-Day Mid-Air Pivot: Transforming Underbelly Capacity into Revenue</w:t>
      </w:r>
    </w:p>
    <w:p w14:paraId="6ADE65E1" w14:textId="77777777" w:rsidR="00C87C6E" w:rsidRDefault="00C87C6E" w:rsidP="00C87C6E">
      <w:pPr>
        <w:spacing w:after="0"/>
      </w:pPr>
    </w:p>
    <w:p w14:paraId="6A1A0182" w14:textId="72E8DFCB" w:rsidR="00C87C6E" w:rsidRPr="00C87C6E" w:rsidRDefault="00C87C6E" w:rsidP="00C87C6E">
      <w:pPr>
        <w:spacing w:after="0"/>
      </w:pPr>
      <w:r w:rsidRPr="00C87C6E">
        <w:t>Operational agility is the hallmark of a successful corporate turnaround. United demonstrated this through the "7-Day Pivot," a rapid reconfiguration of its grounded passenger fleet. By mapping aircraft aerodynamics and realizing that zero passenger loads freed up massive "underbelly" space, United re-tasked its idle widebody holds for premium freight operations within a single week. This was not a slow freighter conversion, but a rapid utilization of existing underbelly capacity to serve a surging global logistics market.</w:t>
      </w:r>
    </w:p>
    <w:p w14:paraId="5D6DC3B6" w14:textId="77777777" w:rsidR="00C87C6E" w:rsidRDefault="00C87C6E" w:rsidP="00C87C6E">
      <w:pPr>
        <w:spacing w:after="0"/>
      </w:pPr>
    </w:p>
    <w:p w14:paraId="02B8CE51" w14:textId="70F761BF" w:rsidR="00C87C6E" w:rsidRPr="00C87C6E" w:rsidRDefault="00C87C6E" w:rsidP="00C87C6E">
      <w:pPr>
        <w:spacing w:after="0"/>
      </w:pPr>
      <w:r w:rsidRPr="00C87C6E">
        <w:t>The logistics of this strategy were executed with technical precision:</w:t>
      </w:r>
    </w:p>
    <w:p w14:paraId="06CFB718" w14:textId="77777777" w:rsidR="00C87C6E" w:rsidRPr="00C87C6E" w:rsidRDefault="00C87C6E" w:rsidP="00C87C6E">
      <w:pPr>
        <w:numPr>
          <w:ilvl w:val="0"/>
          <w:numId w:val="2"/>
        </w:numPr>
        <w:spacing w:after="0"/>
      </w:pPr>
      <w:r w:rsidRPr="00C87C6E">
        <w:t>Expanded widebody dry-ice transport workflows by 400% to meet medical demands.</w:t>
      </w:r>
    </w:p>
    <w:p w14:paraId="69AFDA00" w14:textId="77777777" w:rsidR="00C87C6E" w:rsidRPr="00C87C6E" w:rsidRDefault="00C87C6E" w:rsidP="00C87C6E">
      <w:pPr>
        <w:numPr>
          <w:ilvl w:val="0"/>
          <w:numId w:val="2"/>
        </w:numPr>
        <w:spacing w:after="0"/>
      </w:pPr>
      <w:r w:rsidRPr="00C87C6E">
        <w:t>Executed over 13,400 cargo-only flights during the crisis.</w:t>
      </w:r>
    </w:p>
    <w:p w14:paraId="1A4B315F" w14:textId="77777777" w:rsidR="00C87C6E" w:rsidRPr="00C87C6E" w:rsidRDefault="00C87C6E" w:rsidP="00C87C6E">
      <w:pPr>
        <w:numPr>
          <w:ilvl w:val="0"/>
          <w:numId w:val="2"/>
        </w:numPr>
        <w:spacing w:after="0"/>
      </w:pPr>
      <w:r w:rsidRPr="00C87C6E">
        <w:t xml:space="preserve">Generated </w:t>
      </w:r>
      <w:r w:rsidRPr="00C87C6E">
        <w:rPr>
          <w:b/>
          <w:bCs/>
        </w:rPr>
        <w:t>over $2 billion in emergency cargo revenue</w:t>
      </w:r>
      <w:r w:rsidRPr="00C87C6E">
        <w:t>.</w:t>
      </w:r>
    </w:p>
    <w:p w14:paraId="514CC69A" w14:textId="77777777" w:rsidR="00C87C6E" w:rsidRDefault="00C87C6E" w:rsidP="00C87C6E">
      <w:pPr>
        <w:spacing w:after="0"/>
      </w:pPr>
    </w:p>
    <w:p w14:paraId="7AC397B0" w14:textId="77777777" w:rsidR="00C87C6E" w:rsidRDefault="00C87C6E">
      <w:r>
        <w:br w:type="page"/>
      </w:r>
    </w:p>
    <w:p w14:paraId="51B1CBF9" w14:textId="108288B7" w:rsidR="00C87C6E" w:rsidRPr="00C87C6E" w:rsidRDefault="00C87C6E" w:rsidP="00C87C6E">
      <w:pPr>
        <w:spacing w:after="0"/>
      </w:pPr>
      <w:r w:rsidRPr="00C87C6E">
        <w:lastRenderedPageBreak/>
        <w:t>The strategic "So What?" of this pivot was twofold: it provided a vital revenue cushion that mitigated passenger losses, and it secured United’s role as the global leader in COVID-19 vaccine distribution. By keeping the fleet in constant motion, United also ensured that its aircraft remained "operationally warm," avoiding the mechanical degradation associated with long-term desert storage.</w:t>
      </w:r>
    </w:p>
    <w:p w14:paraId="0BDB28AD" w14:textId="77777777" w:rsidR="00C87C6E" w:rsidRDefault="00C87C6E" w:rsidP="00C87C6E">
      <w:pPr>
        <w:spacing w:after="0"/>
        <w:rPr>
          <w:b/>
          <w:bCs/>
        </w:rPr>
      </w:pPr>
    </w:p>
    <w:p w14:paraId="2CEAEDB8" w14:textId="096BE920" w:rsidR="00C87C6E" w:rsidRPr="00C87C6E" w:rsidRDefault="00C87C6E" w:rsidP="00C87C6E">
      <w:pPr>
        <w:spacing w:after="0"/>
        <w:rPr>
          <w:b/>
          <w:bCs/>
        </w:rPr>
      </w:pPr>
      <w:r w:rsidRPr="00C87C6E">
        <w:rPr>
          <w:b/>
          <w:bCs/>
        </w:rPr>
        <w:t>5. Network Up-Gauging and the "United Next" Framework</w:t>
      </w:r>
    </w:p>
    <w:p w14:paraId="26B8529F" w14:textId="77777777" w:rsidR="00C87C6E" w:rsidRDefault="00C87C6E" w:rsidP="00C87C6E">
      <w:pPr>
        <w:spacing w:after="0"/>
      </w:pPr>
    </w:p>
    <w:p w14:paraId="4BAE72A7" w14:textId="71B4233A" w:rsidR="00C87C6E" w:rsidRPr="00C87C6E" w:rsidRDefault="00C87C6E" w:rsidP="00C87C6E">
      <w:pPr>
        <w:spacing w:after="0"/>
      </w:pPr>
      <w:r w:rsidRPr="00C87C6E">
        <w:t>As the industry moved toward recovery, United shifted its focus to Unit Cost Economics (CASM). The "United Next" framework was designed to drive down costs by "Up-Gauging"—replacing low-yield, 50-seat regional aircraft with larger, more efficient mainline jets. This strategy focuses on the efficiency of fixed-cost absorption; since the costs of a pilot, a gate, and ground crew are relatively fixed regardless of aircraft size, increasing the number of seats per departure directly expands operating margins.</w:t>
      </w:r>
    </w:p>
    <w:p w14:paraId="7E713D17" w14:textId="77777777" w:rsidR="00C87C6E" w:rsidRPr="00C87C6E" w:rsidRDefault="00C87C6E" w:rsidP="00C87C6E">
      <w:pPr>
        <w:spacing w:after="0"/>
      </w:pPr>
      <w:r w:rsidRPr="00C87C6E">
        <w:t>Central to this optimization was an order for 274 large narrowbody aircraft, including the Boeing 737 MAX and the Airbus A321neo. This shift achieved:</w:t>
      </w:r>
    </w:p>
    <w:p w14:paraId="5941A60C" w14:textId="77777777" w:rsidR="00C87C6E" w:rsidRPr="00C87C6E" w:rsidRDefault="00C87C6E" w:rsidP="00C87C6E">
      <w:pPr>
        <w:numPr>
          <w:ilvl w:val="0"/>
          <w:numId w:val="3"/>
        </w:numPr>
        <w:spacing w:after="0"/>
      </w:pPr>
      <w:r w:rsidRPr="00C87C6E">
        <w:t>A 40% increase in average seats per departure.</w:t>
      </w:r>
    </w:p>
    <w:p w14:paraId="468BFC97" w14:textId="77777777" w:rsidR="00C87C6E" w:rsidRPr="00C87C6E" w:rsidRDefault="00C87C6E" w:rsidP="00C87C6E">
      <w:pPr>
        <w:numPr>
          <w:ilvl w:val="0"/>
          <w:numId w:val="3"/>
        </w:numPr>
        <w:spacing w:after="0"/>
      </w:pPr>
      <w:r w:rsidRPr="00C87C6E">
        <w:t>The systematic phasing out of inefficient regional jets.</w:t>
      </w:r>
    </w:p>
    <w:p w14:paraId="03660BB8" w14:textId="77777777" w:rsidR="00C87C6E" w:rsidRPr="00C87C6E" w:rsidRDefault="00C87C6E" w:rsidP="00C87C6E">
      <w:pPr>
        <w:numPr>
          <w:ilvl w:val="0"/>
          <w:numId w:val="3"/>
        </w:numPr>
        <w:spacing w:after="0"/>
      </w:pPr>
      <w:r w:rsidRPr="00C87C6E">
        <w:t>A permanent structural advantage in unit cost efficiency over resource-constrained peers.</w:t>
      </w:r>
    </w:p>
    <w:p w14:paraId="0E5C4F2E" w14:textId="77777777" w:rsidR="00C87C6E" w:rsidRDefault="00C87C6E" w:rsidP="00C87C6E">
      <w:pPr>
        <w:spacing w:after="0"/>
      </w:pPr>
    </w:p>
    <w:p w14:paraId="7CDC43AB" w14:textId="08465CA1" w:rsidR="00C87C6E" w:rsidRPr="00C87C6E" w:rsidRDefault="00C87C6E" w:rsidP="00C87C6E">
      <w:pPr>
        <w:spacing w:after="0"/>
      </w:pPr>
      <w:r w:rsidRPr="00C87C6E">
        <w:t>By maximizing the revenue potential of every hub departure, United ensured that its post-recovery growth would be both scalable and significantly more profitable than its pre-crisis baseline.</w:t>
      </w:r>
    </w:p>
    <w:p w14:paraId="359B189D" w14:textId="77777777" w:rsidR="00C87C6E" w:rsidRDefault="00C87C6E" w:rsidP="00C87C6E">
      <w:pPr>
        <w:spacing w:after="0"/>
        <w:rPr>
          <w:b/>
          <w:bCs/>
        </w:rPr>
      </w:pPr>
    </w:p>
    <w:p w14:paraId="291CEF4F" w14:textId="06563E27" w:rsidR="00C87C6E" w:rsidRPr="00C87C6E" w:rsidRDefault="00C87C6E" w:rsidP="00C87C6E">
      <w:pPr>
        <w:spacing w:after="0"/>
        <w:rPr>
          <w:b/>
          <w:bCs/>
        </w:rPr>
      </w:pPr>
      <w:r w:rsidRPr="00C87C6E">
        <w:rPr>
          <w:b/>
          <w:bCs/>
        </w:rPr>
        <w:t>6. Comparative Performance: Crisis Lows vs. Recovery Dominance</w:t>
      </w:r>
    </w:p>
    <w:p w14:paraId="5B4BB041" w14:textId="77777777" w:rsidR="00C87C6E" w:rsidRDefault="00C87C6E" w:rsidP="00C87C6E">
      <w:pPr>
        <w:spacing w:after="0"/>
      </w:pPr>
    </w:p>
    <w:p w14:paraId="56156AA9" w14:textId="1A0C0C97" w:rsidR="00C87C6E" w:rsidRPr="00C87C6E" w:rsidRDefault="00C87C6E" w:rsidP="00C87C6E">
      <w:pPr>
        <w:spacing w:after="0"/>
      </w:pPr>
      <w:r w:rsidRPr="00C87C6E">
        <w:t>A retrospective analysis validates that United’s counter-cyclical preservation strategy outperformed the retrenchment playbooks of its competitors. While rivals were forced into a cycle of "International Retrenchment," United’s ready-to-fly fleet allowed for immediate market capture.</w:t>
      </w:r>
    </w:p>
    <w:p w14:paraId="2F9556B9" w14:textId="77777777" w:rsidR="00C87C6E" w:rsidRDefault="00C87C6E" w:rsidP="00C87C6E">
      <w:pPr>
        <w:spacing w:after="0"/>
        <w:rPr>
          <w:b/>
          <w:bCs/>
        </w:rPr>
      </w:pPr>
    </w:p>
    <w:p w14:paraId="0EA9C1BF" w14:textId="01B59EAF" w:rsidR="00C87C6E" w:rsidRPr="00C87C6E" w:rsidRDefault="00C87C6E" w:rsidP="00C87C6E">
      <w:pPr>
        <w:spacing w:after="0"/>
      </w:pPr>
      <w:r w:rsidRPr="00C87C6E">
        <w:rPr>
          <w:b/>
          <w:bCs/>
        </w:rPr>
        <w:t>Strategic Performance Dashboard: FY2020 vs. FY2023</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61"/>
        <w:gridCol w:w="3449"/>
        <w:gridCol w:w="3740"/>
      </w:tblGrid>
      <w:tr w:rsidR="00C87C6E" w:rsidRPr="00C87C6E" w14:paraId="690D4EE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17A6287" w14:textId="77777777" w:rsidR="00C87C6E" w:rsidRPr="00C87C6E" w:rsidRDefault="00C87C6E" w:rsidP="00C87C6E">
            <w:pPr>
              <w:spacing w:after="0"/>
            </w:pPr>
            <w:r w:rsidRPr="00C87C6E">
              <w:t>Strategic Performance Metric</w:t>
            </w:r>
          </w:p>
        </w:tc>
        <w:tc>
          <w:tcPr>
            <w:tcW w:w="0" w:type="auto"/>
            <w:tcBorders>
              <w:top w:val="outset" w:sz="6" w:space="0" w:color="auto"/>
              <w:left w:val="outset" w:sz="6" w:space="0" w:color="auto"/>
              <w:bottom w:val="outset" w:sz="6" w:space="0" w:color="auto"/>
              <w:right w:val="outset" w:sz="6" w:space="0" w:color="auto"/>
            </w:tcBorders>
            <w:vAlign w:val="center"/>
            <w:hideMark/>
          </w:tcPr>
          <w:p w14:paraId="6F2299F9" w14:textId="77777777" w:rsidR="00C87C6E" w:rsidRPr="00C87C6E" w:rsidRDefault="00C87C6E" w:rsidP="00C87C6E">
            <w:pPr>
              <w:spacing w:after="0"/>
              <w:rPr>
                <w:b/>
                <w:bCs/>
              </w:rPr>
            </w:pPr>
            <w:r w:rsidRPr="00C87C6E">
              <w:rPr>
                <w:b/>
                <w:bCs/>
              </w:rPr>
              <w:t>Before (FY 2020 Crisis 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D79E9DC" w14:textId="77777777" w:rsidR="00C87C6E" w:rsidRPr="00C87C6E" w:rsidRDefault="00C87C6E" w:rsidP="00C87C6E">
            <w:pPr>
              <w:spacing w:after="0"/>
              <w:rPr>
                <w:b/>
                <w:bCs/>
              </w:rPr>
            </w:pPr>
            <w:r w:rsidRPr="00C87C6E">
              <w:rPr>
                <w:b/>
                <w:bCs/>
              </w:rPr>
              <w:t>After (FY 2023 Recovery)</w:t>
            </w:r>
          </w:p>
        </w:tc>
      </w:tr>
      <w:tr w:rsidR="00C87C6E" w:rsidRPr="00C87C6E" w14:paraId="0ABB289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98AD50" w14:textId="77777777" w:rsidR="00C87C6E" w:rsidRPr="00C87C6E" w:rsidRDefault="00C87C6E" w:rsidP="00C87C6E">
            <w:pPr>
              <w:spacing w:after="0"/>
            </w:pPr>
            <w:r w:rsidRPr="00C87C6E">
              <w:rPr>
                <w:b/>
                <w:bCs/>
              </w:rPr>
              <w:t>Annual Operating Revenue</w:t>
            </w:r>
          </w:p>
        </w:tc>
        <w:tc>
          <w:tcPr>
            <w:tcW w:w="0" w:type="auto"/>
            <w:tcBorders>
              <w:top w:val="outset" w:sz="6" w:space="0" w:color="auto"/>
              <w:left w:val="outset" w:sz="6" w:space="0" w:color="auto"/>
              <w:bottom w:val="outset" w:sz="6" w:space="0" w:color="auto"/>
              <w:right w:val="outset" w:sz="6" w:space="0" w:color="auto"/>
            </w:tcBorders>
            <w:vAlign w:val="center"/>
            <w:hideMark/>
          </w:tcPr>
          <w:p w14:paraId="023DB527" w14:textId="77777777" w:rsidR="00C87C6E" w:rsidRPr="00C87C6E" w:rsidRDefault="00C87C6E" w:rsidP="00C87C6E">
            <w:pPr>
              <w:spacing w:after="0"/>
            </w:pPr>
            <w:r w:rsidRPr="00C87C6E">
              <w:t>$15.35 Billion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45B398A" w14:textId="77777777" w:rsidR="00C87C6E" w:rsidRPr="00C87C6E" w:rsidRDefault="00C87C6E" w:rsidP="00C87C6E">
            <w:pPr>
              <w:spacing w:after="0"/>
            </w:pPr>
            <w:r w:rsidRPr="00C87C6E">
              <w:t>$57.43 Billion</w:t>
            </w:r>
          </w:p>
        </w:tc>
      </w:tr>
      <w:tr w:rsidR="00C87C6E" w:rsidRPr="00C87C6E" w14:paraId="15F89E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911284F" w14:textId="77777777" w:rsidR="00C87C6E" w:rsidRPr="00C87C6E" w:rsidRDefault="00C87C6E" w:rsidP="00C87C6E">
            <w:pPr>
              <w:spacing w:after="0"/>
            </w:pPr>
            <w:r w:rsidRPr="00C87C6E">
              <w:rPr>
                <w:b/>
                <w:bCs/>
              </w:rPr>
              <w:t>Net Income Margin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244376A" w14:textId="77777777" w:rsidR="00C87C6E" w:rsidRPr="00C87C6E" w:rsidRDefault="00C87C6E" w:rsidP="00C87C6E">
            <w:pPr>
              <w:spacing w:after="0"/>
            </w:pPr>
            <w:r w:rsidRPr="00C87C6E">
              <w:t>-46.0%</w:t>
            </w:r>
          </w:p>
        </w:tc>
        <w:tc>
          <w:tcPr>
            <w:tcW w:w="0" w:type="auto"/>
            <w:tcBorders>
              <w:top w:val="outset" w:sz="6" w:space="0" w:color="auto"/>
              <w:left w:val="outset" w:sz="6" w:space="0" w:color="auto"/>
              <w:bottom w:val="outset" w:sz="6" w:space="0" w:color="auto"/>
              <w:right w:val="outset" w:sz="6" w:space="0" w:color="auto"/>
            </w:tcBorders>
            <w:vAlign w:val="center"/>
            <w:hideMark/>
          </w:tcPr>
          <w:p w14:paraId="7E0EB9BE" w14:textId="77777777" w:rsidR="00C87C6E" w:rsidRPr="00C87C6E" w:rsidRDefault="00C87C6E" w:rsidP="00C87C6E">
            <w:pPr>
              <w:spacing w:after="0"/>
            </w:pPr>
            <w:r w:rsidRPr="00C87C6E">
              <w:t>+6.4%</w:t>
            </w:r>
          </w:p>
        </w:tc>
      </w:tr>
      <w:tr w:rsidR="00C87C6E" w:rsidRPr="00C87C6E" w14:paraId="2A85CBA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DF37366" w14:textId="77777777" w:rsidR="00C87C6E" w:rsidRPr="00C87C6E" w:rsidRDefault="00C87C6E" w:rsidP="00C87C6E">
            <w:pPr>
              <w:spacing w:after="0"/>
            </w:pPr>
            <w:r w:rsidRPr="00C87C6E">
              <w:rPr>
                <w:b/>
                <w:bCs/>
              </w:rPr>
              <w:t>Transatlantic Footprint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F9F1E91" w14:textId="77777777" w:rsidR="00C87C6E" w:rsidRPr="00C87C6E" w:rsidRDefault="00C87C6E" w:rsidP="00C87C6E">
            <w:pPr>
              <w:spacing w:after="0"/>
            </w:pPr>
            <w:r w:rsidRPr="00C87C6E">
              <w:t>Retrenched / Suspended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6648D1A" w14:textId="77777777" w:rsidR="00C87C6E" w:rsidRPr="00C87C6E" w:rsidRDefault="00C87C6E" w:rsidP="00C87C6E">
            <w:pPr>
              <w:spacing w:after="0"/>
            </w:pPr>
            <w:r w:rsidRPr="00C87C6E">
              <w:t>36 Active Destinations (Leader)</w:t>
            </w:r>
          </w:p>
        </w:tc>
      </w:tr>
      <w:tr w:rsidR="00C87C6E" w:rsidRPr="00C87C6E" w14:paraId="55C3F9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E1A744" w14:textId="77777777" w:rsidR="00C87C6E" w:rsidRPr="00C87C6E" w:rsidRDefault="00C87C6E" w:rsidP="00C87C6E">
            <w:pPr>
              <w:spacing w:after="0"/>
            </w:pPr>
            <w:r w:rsidRPr="00C87C6E">
              <w:rPr>
                <w:b/>
                <w:bCs/>
              </w:rPr>
              <w:t>Active Mainline Fleet</w:t>
            </w:r>
          </w:p>
        </w:tc>
        <w:tc>
          <w:tcPr>
            <w:tcW w:w="0" w:type="auto"/>
            <w:tcBorders>
              <w:top w:val="outset" w:sz="6" w:space="0" w:color="auto"/>
              <w:left w:val="outset" w:sz="6" w:space="0" w:color="auto"/>
              <w:bottom w:val="outset" w:sz="6" w:space="0" w:color="auto"/>
              <w:right w:val="outset" w:sz="6" w:space="0" w:color="auto"/>
            </w:tcBorders>
            <w:vAlign w:val="center"/>
            <w:hideMark/>
          </w:tcPr>
          <w:p w14:paraId="10DADC5C" w14:textId="77777777" w:rsidR="00C87C6E" w:rsidRPr="00C87C6E" w:rsidRDefault="00C87C6E" w:rsidP="00C87C6E">
            <w:pPr>
              <w:spacing w:after="0"/>
            </w:pPr>
            <w:r w:rsidRPr="00C87C6E">
              <w:t>~800 (Hundreds Grounded)</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4642E" w14:textId="77777777" w:rsidR="00C87C6E" w:rsidRPr="00C87C6E" w:rsidRDefault="00C87C6E" w:rsidP="00C87C6E">
            <w:pPr>
              <w:spacing w:after="0"/>
            </w:pPr>
            <w:r w:rsidRPr="00C87C6E">
              <w:t>1,100+ (Operational &amp; On Order)</w:t>
            </w:r>
          </w:p>
        </w:tc>
      </w:tr>
      <w:tr w:rsidR="00C87C6E" w:rsidRPr="00C87C6E" w14:paraId="25E382D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A42A859" w14:textId="77777777" w:rsidR="00C87C6E" w:rsidRPr="00C87C6E" w:rsidRDefault="00C87C6E" w:rsidP="00C87C6E">
            <w:pPr>
              <w:spacing w:after="0"/>
            </w:pPr>
            <w:r w:rsidRPr="00C87C6E">
              <w:rPr>
                <w:b/>
                <w:bCs/>
              </w:rPr>
              <w:t>Financing Position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4A413B51" w14:textId="77777777" w:rsidR="00C87C6E" w:rsidRPr="00C87C6E" w:rsidRDefault="00C87C6E" w:rsidP="00C87C6E">
            <w:pPr>
              <w:spacing w:after="0"/>
            </w:pPr>
            <w:r w:rsidRPr="00C87C6E">
              <w:t>Severe Insolvency Risk</w:t>
            </w:r>
          </w:p>
        </w:tc>
        <w:tc>
          <w:tcPr>
            <w:tcW w:w="0" w:type="auto"/>
            <w:tcBorders>
              <w:top w:val="outset" w:sz="6" w:space="0" w:color="auto"/>
              <w:left w:val="outset" w:sz="6" w:space="0" w:color="auto"/>
              <w:bottom w:val="outset" w:sz="6" w:space="0" w:color="auto"/>
              <w:right w:val="outset" w:sz="6" w:space="0" w:color="auto"/>
            </w:tcBorders>
            <w:vAlign w:val="center"/>
            <w:hideMark/>
          </w:tcPr>
          <w:p w14:paraId="438D7C3A" w14:textId="77777777" w:rsidR="00C87C6E" w:rsidRPr="00C87C6E" w:rsidRDefault="00C87C6E" w:rsidP="00C87C6E">
            <w:pPr>
              <w:spacing w:after="0"/>
            </w:pPr>
            <w:r w:rsidRPr="00C87C6E">
              <w:t xml:space="preserve">$26B+ Raised; </w:t>
            </w:r>
            <w:r w:rsidRPr="00C87C6E">
              <w:rPr>
                <w:b/>
                <w:bCs/>
              </w:rPr>
              <w:t>Order Book Intact</w:t>
            </w:r>
          </w:p>
        </w:tc>
      </w:tr>
      <w:tr w:rsidR="00C87C6E" w:rsidRPr="00C87C6E" w14:paraId="5A18CB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1EDCFA" w14:textId="77777777" w:rsidR="00C87C6E" w:rsidRPr="00C87C6E" w:rsidRDefault="00C87C6E" w:rsidP="00C87C6E">
            <w:pPr>
              <w:spacing w:after="0"/>
            </w:pPr>
            <w:r w:rsidRPr="00C87C6E">
              <w:rPr>
                <w:b/>
                <w:bCs/>
              </w:rPr>
              <w:t>Seats per Hub Departure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4F10341E" w14:textId="77777777" w:rsidR="00C87C6E" w:rsidRPr="00C87C6E" w:rsidRDefault="00C87C6E" w:rsidP="00C87C6E">
            <w:pPr>
              <w:spacing w:after="0"/>
            </w:pPr>
            <w:r w:rsidRPr="00C87C6E">
              <w:t>Low Baseline (Regional-Heavy)</w:t>
            </w:r>
          </w:p>
        </w:tc>
        <w:tc>
          <w:tcPr>
            <w:tcW w:w="0" w:type="auto"/>
            <w:tcBorders>
              <w:top w:val="outset" w:sz="6" w:space="0" w:color="auto"/>
              <w:left w:val="outset" w:sz="6" w:space="0" w:color="auto"/>
              <w:bottom w:val="outset" w:sz="6" w:space="0" w:color="auto"/>
              <w:right w:val="outset" w:sz="6" w:space="0" w:color="auto"/>
            </w:tcBorders>
            <w:vAlign w:val="center"/>
            <w:hideMark/>
          </w:tcPr>
          <w:p w14:paraId="3BAC3FCF" w14:textId="77777777" w:rsidR="00C87C6E" w:rsidRPr="00C87C6E" w:rsidRDefault="00C87C6E" w:rsidP="00C87C6E">
            <w:pPr>
              <w:spacing w:after="0"/>
            </w:pPr>
            <w:r w:rsidRPr="00C87C6E">
              <w:t>+40% (Mainline Up-Gauged)</w:t>
            </w:r>
          </w:p>
        </w:tc>
      </w:tr>
    </w:tbl>
    <w:p w14:paraId="4390B6BA" w14:textId="77777777" w:rsidR="00C87C6E" w:rsidRDefault="00C87C6E" w:rsidP="00C87C6E">
      <w:pPr>
        <w:spacing w:after="0"/>
      </w:pPr>
    </w:p>
    <w:p w14:paraId="0431BBCA" w14:textId="0F2CC510" w:rsidR="00C87C6E" w:rsidRPr="00C87C6E" w:rsidRDefault="00C87C6E" w:rsidP="00C87C6E">
      <w:pPr>
        <w:spacing w:after="0"/>
      </w:pPr>
      <w:r w:rsidRPr="00C87C6E">
        <w:t>The contrast is definitive. While competitors sought to protect short-term liquidity through asset destruction, United emerged with a larger, more efficient fleet and a dominant international position. The "Order Book Intact" status at the end of 2023 serves as the ultimate KPI of the turnaround's success.</w:t>
      </w:r>
    </w:p>
    <w:p w14:paraId="31018CD4" w14:textId="77777777" w:rsidR="00C87C6E" w:rsidRDefault="00C87C6E" w:rsidP="00C87C6E">
      <w:pPr>
        <w:spacing w:after="0"/>
        <w:rPr>
          <w:b/>
          <w:bCs/>
        </w:rPr>
      </w:pPr>
    </w:p>
    <w:p w14:paraId="43480A47" w14:textId="77777777" w:rsidR="00C87C6E" w:rsidRDefault="00C87C6E">
      <w:pPr>
        <w:rPr>
          <w:b/>
          <w:bCs/>
        </w:rPr>
      </w:pPr>
      <w:r>
        <w:rPr>
          <w:b/>
          <w:bCs/>
        </w:rPr>
        <w:br w:type="page"/>
      </w:r>
    </w:p>
    <w:p w14:paraId="02FDEB9C" w14:textId="3C9F3885" w:rsidR="00C87C6E" w:rsidRPr="00C87C6E" w:rsidRDefault="00C87C6E" w:rsidP="00C87C6E">
      <w:pPr>
        <w:spacing w:after="0"/>
        <w:rPr>
          <w:b/>
          <w:bCs/>
        </w:rPr>
      </w:pPr>
      <w:r w:rsidRPr="00C87C6E">
        <w:rPr>
          <w:b/>
          <w:bCs/>
        </w:rPr>
        <w:lastRenderedPageBreak/>
        <w:t>7. Conclusion: The Strategic Lesson of Capacity Preservation</w:t>
      </w:r>
    </w:p>
    <w:p w14:paraId="287EC25E" w14:textId="77777777" w:rsidR="00C87C6E" w:rsidRDefault="00C87C6E" w:rsidP="00C87C6E">
      <w:pPr>
        <w:spacing w:after="0"/>
      </w:pPr>
    </w:p>
    <w:p w14:paraId="62446E20" w14:textId="238460B5" w:rsidR="00C87C6E" w:rsidRPr="00C87C6E" w:rsidRDefault="00C87C6E" w:rsidP="00C87C6E">
      <w:pPr>
        <w:spacing w:after="0"/>
      </w:pPr>
      <w:r w:rsidRPr="00C87C6E">
        <w:t>The recovery of United Airlines demonstrates that true corporate resilience is built on asset protection rather than mere cost-cutting. The decision to reject the "textbook" response of shrinking to survive allowed the organization to maintain the operating leverage necessary to dominate the recovery.</w:t>
      </w:r>
    </w:p>
    <w:p w14:paraId="7641B324" w14:textId="77777777" w:rsidR="00C87C6E" w:rsidRPr="00C87C6E" w:rsidRDefault="00C87C6E" w:rsidP="00C87C6E">
      <w:pPr>
        <w:spacing w:after="0"/>
      </w:pPr>
      <w:r w:rsidRPr="00C87C6E">
        <w:t>The success of this turnaround is distilled into three core strategic pillars:</w:t>
      </w:r>
    </w:p>
    <w:p w14:paraId="5182640A" w14:textId="77777777" w:rsidR="00C87C6E" w:rsidRPr="00C87C6E" w:rsidRDefault="00C87C6E" w:rsidP="00C87C6E">
      <w:pPr>
        <w:numPr>
          <w:ilvl w:val="0"/>
          <w:numId w:val="4"/>
        </w:numPr>
        <w:spacing w:after="0"/>
      </w:pPr>
      <w:r w:rsidRPr="00C87C6E">
        <w:rPr>
          <w:b/>
          <w:bCs/>
        </w:rPr>
        <w:t>Asset Protection:</w:t>
      </w:r>
      <w:r w:rsidRPr="00C87C6E">
        <w:t xml:space="preserve"> Utilizing mechanisms like the $3B EETC deal to hoard widebody capacity, ensuring an immediate "Time-to-Market" advantage.</w:t>
      </w:r>
    </w:p>
    <w:p w14:paraId="1244A622" w14:textId="77777777" w:rsidR="00C87C6E" w:rsidRPr="00C87C6E" w:rsidRDefault="00C87C6E" w:rsidP="00C87C6E">
      <w:pPr>
        <w:numPr>
          <w:ilvl w:val="0"/>
          <w:numId w:val="4"/>
        </w:numPr>
        <w:spacing w:after="0"/>
      </w:pPr>
      <w:r w:rsidRPr="00C87C6E">
        <w:rPr>
          <w:b/>
          <w:bCs/>
        </w:rPr>
        <w:t>Operational Pivots:</w:t>
      </w:r>
      <w:r w:rsidRPr="00C87C6E">
        <w:t xml:space="preserve"> Rapidly leveraging underbelly capacity to generate $2B in cargo revenue, maintaining fleet readiness while cushioning losses.</w:t>
      </w:r>
    </w:p>
    <w:p w14:paraId="6EA6194D" w14:textId="77777777" w:rsidR="00C87C6E" w:rsidRPr="00C87C6E" w:rsidRDefault="00C87C6E" w:rsidP="00C87C6E">
      <w:pPr>
        <w:numPr>
          <w:ilvl w:val="0"/>
          <w:numId w:val="4"/>
        </w:numPr>
        <w:spacing w:after="0"/>
      </w:pPr>
      <w:r w:rsidRPr="00C87C6E">
        <w:rPr>
          <w:b/>
          <w:bCs/>
        </w:rPr>
        <w:t>Financial Innovation:</w:t>
      </w:r>
      <w:r w:rsidRPr="00C87C6E">
        <w:t xml:space="preserve"> Segregating intangible loyalty assets to generate $6.8B in liquidity, eliminating insolvency risk without sacrificing the physical fleet.</w:t>
      </w:r>
    </w:p>
    <w:p w14:paraId="0F36631E" w14:textId="77777777" w:rsidR="00C87C6E" w:rsidRDefault="00C87C6E" w:rsidP="00C87C6E">
      <w:pPr>
        <w:spacing w:after="0"/>
      </w:pPr>
    </w:p>
    <w:p w14:paraId="62EBF353" w14:textId="21F355FC" w:rsidR="00150F4E" w:rsidRDefault="00C87C6E" w:rsidP="00C87C6E">
      <w:pPr>
        <w:spacing w:after="0"/>
      </w:pPr>
      <w:r w:rsidRPr="00C87C6E">
        <w:t>The ultimate strategic takeaway is that turnaround yields are highest when capacity is preserved at market lows. By protecting its operational core during the industry's darkest period, United was positioned to achieve absolute dominance the moment global demand recovered. Resilience is not the ability to retreat, but the foresight to remain ready for the inevitable market pivot.</w:t>
      </w:r>
    </w:p>
    <w:sectPr w:rsidR="00150F4E" w:rsidSect="00C331D0">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2ECB"/>
    <w:multiLevelType w:val="multilevel"/>
    <w:tmpl w:val="B6B00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8C6469"/>
    <w:multiLevelType w:val="multilevel"/>
    <w:tmpl w:val="C79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677C13"/>
    <w:multiLevelType w:val="multilevel"/>
    <w:tmpl w:val="6E68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04541"/>
    <w:multiLevelType w:val="multilevel"/>
    <w:tmpl w:val="33D0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718409">
    <w:abstractNumId w:val="3"/>
  </w:num>
  <w:num w:numId="2" w16cid:durableId="397945736">
    <w:abstractNumId w:val="2"/>
  </w:num>
  <w:num w:numId="3" w16cid:durableId="2131512860">
    <w:abstractNumId w:val="1"/>
  </w:num>
  <w:num w:numId="4" w16cid:durableId="1015769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6E"/>
    <w:rsid w:val="000163D2"/>
    <w:rsid w:val="00150F4E"/>
    <w:rsid w:val="001D7422"/>
    <w:rsid w:val="00C331D0"/>
    <w:rsid w:val="00C87C6E"/>
    <w:rsid w:val="00EE4DD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2056D"/>
  <w15:chartTrackingRefBased/>
  <w15:docId w15:val="{DC3B57AE-A4B4-45AD-A3AD-2391F263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6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87C6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87C6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87C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C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6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87C6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87C6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87C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C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C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6E"/>
    <w:rPr>
      <w:rFonts w:eastAsiaTheme="majorEastAsia" w:cstheme="majorBidi"/>
      <w:color w:val="272727" w:themeColor="text1" w:themeTint="D8"/>
    </w:rPr>
  </w:style>
  <w:style w:type="paragraph" w:styleId="Title">
    <w:name w:val="Title"/>
    <w:basedOn w:val="Normal"/>
    <w:next w:val="Normal"/>
    <w:link w:val="TitleChar"/>
    <w:uiPriority w:val="10"/>
    <w:qFormat/>
    <w:rsid w:val="00C87C6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87C6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87C6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87C6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87C6E"/>
    <w:pPr>
      <w:spacing w:before="160"/>
      <w:jc w:val="center"/>
    </w:pPr>
    <w:rPr>
      <w:i/>
      <w:iCs/>
      <w:color w:val="404040" w:themeColor="text1" w:themeTint="BF"/>
    </w:rPr>
  </w:style>
  <w:style w:type="character" w:customStyle="1" w:styleId="QuoteChar">
    <w:name w:val="Quote Char"/>
    <w:basedOn w:val="DefaultParagraphFont"/>
    <w:link w:val="Quote"/>
    <w:uiPriority w:val="29"/>
    <w:rsid w:val="00C87C6E"/>
    <w:rPr>
      <w:i/>
      <w:iCs/>
      <w:color w:val="404040" w:themeColor="text1" w:themeTint="BF"/>
    </w:rPr>
  </w:style>
  <w:style w:type="paragraph" w:styleId="ListParagraph">
    <w:name w:val="List Paragraph"/>
    <w:basedOn w:val="Normal"/>
    <w:uiPriority w:val="34"/>
    <w:qFormat/>
    <w:rsid w:val="00C87C6E"/>
    <w:pPr>
      <w:ind w:left="720"/>
      <w:contextualSpacing/>
    </w:pPr>
  </w:style>
  <w:style w:type="character" w:styleId="IntenseEmphasis">
    <w:name w:val="Intense Emphasis"/>
    <w:basedOn w:val="DefaultParagraphFont"/>
    <w:uiPriority w:val="21"/>
    <w:qFormat/>
    <w:rsid w:val="00C87C6E"/>
    <w:rPr>
      <w:i/>
      <w:iCs/>
      <w:color w:val="0F4761" w:themeColor="accent1" w:themeShade="BF"/>
    </w:rPr>
  </w:style>
  <w:style w:type="paragraph" w:styleId="IntenseQuote">
    <w:name w:val="Intense Quote"/>
    <w:basedOn w:val="Normal"/>
    <w:next w:val="Normal"/>
    <w:link w:val="IntenseQuoteChar"/>
    <w:uiPriority w:val="30"/>
    <w:qFormat/>
    <w:rsid w:val="00C87C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6E"/>
    <w:rPr>
      <w:i/>
      <w:iCs/>
      <w:color w:val="0F4761" w:themeColor="accent1" w:themeShade="BF"/>
    </w:rPr>
  </w:style>
  <w:style w:type="character" w:styleId="IntenseReference">
    <w:name w:val="Intense Reference"/>
    <w:basedOn w:val="DefaultParagraphFont"/>
    <w:uiPriority w:val="32"/>
    <w:qFormat/>
    <w:rsid w:val="00C87C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1470</Words>
  <Characters>8379</Characters>
  <Application>Microsoft Office Word</Application>
  <DocSecurity>0</DocSecurity>
  <Lines>69</Lines>
  <Paragraphs>19</Paragraphs>
  <ScaleCrop>false</ScaleCrop>
  <Company/>
  <LinksUpToDate>false</LinksUpToDate>
  <CharactersWithSpaces>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Rudrashis Chowdhury</dc:creator>
  <cp:keywords/>
  <dc:description/>
  <cp:lastModifiedBy>Rudrashis Chowdhury</cp:lastModifiedBy>
  <cp:revision>1</cp:revision>
  <dcterms:created xsi:type="dcterms:W3CDTF">2026-07-07T15:56:00Z</dcterms:created>
  <dcterms:modified xsi:type="dcterms:W3CDTF">2026-07-07T16:05:00Z</dcterms:modified>
</cp:coreProperties>
</file>