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6B415" w14:textId="77777777" w:rsidR="00260EC3" w:rsidRDefault="00000000">
      <w:pPr>
        <w:spacing w:after="60"/>
      </w:pPr>
      <w:r>
        <w:rPr>
          <w:rFonts w:ascii="Calibri" w:eastAsia="Calibri" w:hAnsi="Calibri" w:cs="Calibri"/>
          <w:b/>
          <w:bCs/>
          <w:color w:val="C9972B"/>
        </w:rPr>
        <w:t>CENTRE OF CORPORATE EXCELLENCE FOR STRATEGIC MANAGEMENT</w:t>
      </w:r>
    </w:p>
    <w:p w14:paraId="0D2772AF" w14:textId="77777777" w:rsidR="00260EC3" w:rsidRDefault="00000000">
      <w:pPr>
        <w:spacing w:before="200" w:after="120"/>
      </w:pPr>
      <w:r>
        <w:rPr>
          <w:rFonts w:ascii="Cambria" w:eastAsia="Cambria" w:hAnsi="Cambria" w:cs="Cambria"/>
          <w:b/>
          <w:bCs/>
          <w:color w:val="10233F"/>
          <w:sz w:val="52"/>
          <w:szCs w:val="52"/>
        </w:rPr>
        <w:t>United Airlines: COVID Crisis to Recovery</w:t>
      </w:r>
    </w:p>
    <w:p w14:paraId="3D674A03" w14:textId="77777777" w:rsidR="00260EC3" w:rsidRDefault="00000000">
      <w:pPr>
        <w:spacing w:after="300"/>
      </w:pPr>
      <w:r>
        <w:rPr>
          <w:rFonts w:ascii="Calibri" w:eastAsia="Calibri" w:hAnsi="Calibri" w:cs="Calibri"/>
          <w:i/>
          <w:iCs/>
          <w:color w:val="5B6B82"/>
          <w:sz w:val="24"/>
          <w:szCs w:val="24"/>
        </w:rPr>
        <w:t>Aviation &amp; Global Logistics Operations Study — Strategic Management Case</w:t>
      </w:r>
    </w:p>
    <w:p w14:paraId="3E8F35E6" w14:textId="77777777" w:rsidR="00260EC3" w:rsidRDefault="00000000">
      <w:pPr>
        <w:spacing w:after="400"/>
      </w:pPr>
      <w:r>
        <w:rPr>
          <w:rFonts w:ascii="Calibri" w:eastAsia="Calibri" w:hAnsi="Calibri" w:cs="Calibri"/>
          <w:b/>
          <w:bCs/>
          <w:color w:val="10233F"/>
          <w:sz w:val="21"/>
          <w:szCs w:val="21"/>
        </w:rPr>
        <w:t>Crisis: 2020</w:t>
      </w:r>
      <w:r>
        <w:rPr>
          <w:rFonts w:ascii="Calibri" w:eastAsia="Calibri" w:hAnsi="Calibri" w:cs="Calibri"/>
          <w:color w:val="5B6B82"/>
          <w:sz w:val="21"/>
          <w:szCs w:val="21"/>
        </w:rPr>
        <w:t xml:space="preserve">   |   </w:t>
      </w:r>
      <w:r>
        <w:rPr>
          <w:rFonts w:ascii="Calibri" w:eastAsia="Calibri" w:hAnsi="Calibri" w:cs="Calibri"/>
          <w:b/>
          <w:bCs/>
          <w:color w:val="10233F"/>
          <w:sz w:val="21"/>
          <w:szCs w:val="21"/>
        </w:rPr>
        <w:t>Recovery: 2022–2023</w:t>
      </w:r>
      <w:r>
        <w:rPr>
          <w:rFonts w:ascii="Calibri" w:eastAsia="Calibri" w:hAnsi="Calibri" w:cs="Calibri"/>
          <w:color w:val="5B6B82"/>
          <w:sz w:val="19"/>
          <w:szCs w:val="19"/>
        </w:rPr>
        <w:t xml:space="preserve">     United Airlines Holdings, Inc.  ·  Chicago, IL  ·  Mainline Fleet: 800+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260EC3" w14:paraId="7978D71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1713861C" w14:textId="77777777" w:rsidR="00260EC3" w:rsidRDefault="00000000">
            <w:pPr>
              <w:spacing w:after="6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10233F"/>
                <w:sz w:val="34"/>
                <w:szCs w:val="34"/>
              </w:rPr>
              <w:t>$43.26B</w:t>
            </w:r>
          </w:p>
          <w:p w14:paraId="630C9392" w14:textId="77777777" w:rsidR="00260EC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B6B82"/>
                <w:sz w:val="15"/>
                <w:szCs w:val="15"/>
              </w:rPr>
              <w:t>ANNUAL REVENUE (FY19)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7486391A" w14:textId="77777777" w:rsidR="00260EC3" w:rsidRDefault="00000000">
            <w:pPr>
              <w:spacing w:after="6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10233F"/>
                <w:sz w:val="34"/>
                <w:szCs w:val="34"/>
              </w:rPr>
              <w:t>+6.9%</w:t>
            </w:r>
          </w:p>
          <w:p w14:paraId="5C499E51" w14:textId="77777777" w:rsidR="00260EC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B6B82"/>
                <w:sz w:val="15"/>
                <w:szCs w:val="15"/>
              </w:rPr>
              <w:t>NET INCOME MARGIN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0F4B7DA5" w14:textId="77777777" w:rsidR="00260EC3" w:rsidRDefault="00000000">
            <w:pPr>
              <w:spacing w:after="6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10233F"/>
                <w:sz w:val="34"/>
                <w:szCs w:val="34"/>
              </w:rPr>
              <w:t>84.6%</w:t>
            </w:r>
          </w:p>
          <w:p w14:paraId="5E1FCBDA" w14:textId="77777777" w:rsidR="00260EC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B6B82"/>
                <w:sz w:val="15"/>
                <w:szCs w:val="15"/>
              </w:rPr>
              <w:t>PASSENGER LOAD FACTOR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04DC4AC8" w14:textId="77777777" w:rsidR="00260EC3" w:rsidRDefault="00000000">
            <w:pPr>
              <w:spacing w:after="6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B23A2F"/>
                <w:sz w:val="34"/>
                <w:szCs w:val="34"/>
              </w:rPr>
              <w:t>-$33M</w:t>
            </w:r>
          </w:p>
          <w:p w14:paraId="122D934E" w14:textId="77777777" w:rsidR="00260EC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B6B82"/>
                <w:sz w:val="15"/>
                <w:szCs w:val="15"/>
              </w:rPr>
              <w:t>CRISIS CASH BURN / DAY</w:t>
            </w:r>
          </w:p>
        </w:tc>
      </w:tr>
    </w:tbl>
    <w:p w14:paraId="2BE0CA07" w14:textId="77777777" w:rsidR="00260EC3" w:rsidRDefault="00000000">
      <w:r>
        <w:br w:type="page"/>
      </w:r>
    </w:p>
    <w:p w14:paraId="69B33067" w14:textId="77777777" w:rsidR="00260EC3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10233F"/>
        </w:rPr>
        <w:lastRenderedPageBreak/>
        <w:t>Crisis Timeline</w:t>
      </w:r>
    </w:p>
    <w:p w14:paraId="1A54D2A9" w14:textId="77777777" w:rsidR="00260EC3" w:rsidRDefault="00000000">
      <w:pPr>
        <w:spacing w:after="200"/>
      </w:pPr>
      <w:r>
        <w:rPr>
          <w:rFonts w:ascii="Calibri" w:eastAsia="Calibri" w:hAnsi="Calibri" w:cs="Calibri"/>
          <w:i/>
          <w:iCs/>
          <w:color w:val="5B6B82"/>
          <w:sz w:val="22"/>
          <w:szCs w:val="22"/>
        </w:rPr>
        <w:t>From demand collapse to a full-year profitability turnaround</w:t>
      </w:r>
    </w:p>
    <w:p w14:paraId="43225ECF" w14:textId="77777777" w:rsidR="00260EC3" w:rsidRDefault="00000000">
      <w:pPr>
        <w:spacing w:before="140" w:after="20"/>
      </w:pPr>
      <w:r>
        <w:rPr>
          <w:rFonts w:ascii="Calibri" w:eastAsia="Calibri" w:hAnsi="Calibri" w:cs="Calibri"/>
          <w:b/>
          <w:bCs/>
          <w:color w:val="C9972B"/>
          <w:sz w:val="17"/>
          <w:szCs w:val="17"/>
        </w:rPr>
        <w:t xml:space="preserve">MAR 2020  </w:t>
      </w:r>
      <w:r>
        <w:rPr>
          <w:rFonts w:ascii="Calibri" w:eastAsia="Calibri" w:hAnsi="Calibri" w:cs="Calibri"/>
          <w:b/>
          <w:bCs/>
          <w:color w:val="10233F"/>
          <w:sz w:val="22"/>
          <w:szCs w:val="22"/>
        </w:rPr>
        <w:t>Demand Collapse Post-Lockdown</w:t>
      </w:r>
    </w:p>
    <w:p w14:paraId="189BF4A2" w14:textId="77777777" w:rsidR="00260EC3" w:rsidRDefault="00000000">
      <w:pPr>
        <w:spacing w:after="100"/>
      </w:pPr>
      <w:r>
        <w:rPr>
          <w:rFonts w:ascii="Calibri" w:eastAsia="Calibri" w:hAnsi="Calibri" w:cs="Calibri"/>
          <w:color w:val="444444"/>
        </w:rPr>
        <w:t>Passenger volumes drop 95% overnight; payroll pressure mounts to protect crews and staff.</w:t>
      </w:r>
    </w:p>
    <w:p w14:paraId="32049EA1" w14:textId="77777777" w:rsidR="00260EC3" w:rsidRDefault="00000000">
      <w:pPr>
        <w:spacing w:before="140" w:after="20"/>
      </w:pPr>
      <w:r>
        <w:rPr>
          <w:rFonts w:ascii="Calibri" w:eastAsia="Calibri" w:hAnsi="Calibri" w:cs="Calibri"/>
          <w:b/>
          <w:bCs/>
          <w:color w:val="C9972B"/>
          <w:sz w:val="17"/>
          <w:szCs w:val="17"/>
        </w:rPr>
        <w:t xml:space="preserve">MAY–JUN 2020  </w:t>
      </w:r>
      <w:r>
        <w:rPr>
          <w:rFonts w:ascii="Calibri" w:eastAsia="Calibri" w:hAnsi="Calibri" w:cs="Calibri"/>
          <w:b/>
          <w:bCs/>
          <w:color w:val="10233F"/>
          <w:sz w:val="22"/>
          <w:szCs w:val="22"/>
        </w:rPr>
        <w:t>Cash Flow Crunch</w:t>
      </w:r>
    </w:p>
    <w:p w14:paraId="76464DAB" w14:textId="77777777" w:rsidR="00260EC3" w:rsidRDefault="00000000">
      <w:pPr>
        <w:spacing w:after="100"/>
      </w:pPr>
      <w:r>
        <w:rPr>
          <w:rFonts w:ascii="Calibri" w:eastAsia="Calibri" w:hAnsi="Calibri" w:cs="Calibri"/>
          <w:color w:val="444444"/>
        </w:rPr>
        <w:t>Daily cash burn peaks near $33M as rivals begin retiring fleets to stop losses.</w:t>
      </w:r>
    </w:p>
    <w:p w14:paraId="021E8865" w14:textId="77777777" w:rsidR="00260EC3" w:rsidRDefault="00000000">
      <w:pPr>
        <w:spacing w:before="140" w:after="20"/>
      </w:pPr>
      <w:r>
        <w:rPr>
          <w:rFonts w:ascii="Calibri" w:eastAsia="Calibri" w:hAnsi="Calibri" w:cs="Calibri"/>
          <w:b/>
          <w:bCs/>
          <w:color w:val="C9972B"/>
          <w:sz w:val="17"/>
          <w:szCs w:val="17"/>
        </w:rPr>
        <w:t xml:space="preserve">JUL 2020  </w:t>
      </w:r>
      <w:r>
        <w:rPr>
          <w:rFonts w:ascii="Calibri" w:eastAsia="Calibri" w:hAnsi="Calibri" w:cs="Calibri"/>
          <w:b/>
          <w:bCs/>
          <w:color w:val="10233F"/>
          <w:sz w:val="22"/>
          <w:szCs w:val="22"/>
        </w:rPr>
        <w:t>Operational Intervention Begins</w:t>
      </w:r>
    </w:p>
    <w:p w14:paraId="68633420" w14:textId="77777777" w:rsidR="00260EC3" w:rsidRDefault="00000000">
      <w:pPr>
        <w:spacing w:after="100"/>
      </w:pPr>
      <w:r>
        <w:rPr>
          <w:rFonts w:ascii="Calibri" w:eastAsia="Calibri" w:hAnsi="Calibri" w:cs="Calibri"/>
          <w:color w:val="444444"/>
        </w:rPr>
        <w:t>Emergency multi-system data diagnostic across booking, cargo, loyalty, and maintenance data.</w:t>
      </w:r>
    </w:p>
    <w:p w14:paraId="40D39AA0" w14:textId="77777777" w:rsidR="00260EC3" w:rsidRDefault="00000000">
      <w:pPr>
        <w:spacing w:before="140" w:after="20"/>
      </w:pPr>
      <w:r>
        <w:rPr>
          <w:rFonts w:ascii="Calibri" w:eastAsia="Calibri" w:hAnsi="Calibri" w:cs="Calibri"/>
          <w:b/>
          <w:bCs/>
          <w:color w:val="C9972B"/>
          <w:sz w:val="17"/>
          <w:szCs w:val="17"/>
        </w:rPr>
        <w:t xml:space="preserve">AUG–OCT 2020  </w:t>
      </w:r>
      <w:r>
        <w:rPr>
          <w:rFonts w:ascii="Calibri" w:eastAsia="Calibri" w:hAnsi="Calibri" w:cs="Calibri"/>
          <w:b/>
          <w:bCs/>
          <w:color w:val="10233F"/>
          <w:sz w:val="22"/>
          <w:szCs w:val="22"/>
        </w:rPr>
        <w:t>Strategy Rollout (Phase 1)</w:t>
      </w:r>
    </w:p>
    <w:p w14:paraId="10DFC54B" w14:textId="77777777" w:rsidR="00260EC3" w:rsidRDefault="00000000">
      <w:pPr>
        <w:spacing w:after="100"/>
      </w:pPr>
      <w:r>
        <w:rPr>
          <w:rFonts w:ascii="Calibri" w:eastAsia="Calibri" w:hAnsi="Calibri" w:cs="Calibri"/>
          <w:color w:val="444444"/>
        </w:rPr>
        <w:t>Asset-hoarding, network re-segmentation, and the 7-Day Mid-Air Cargo Pivot deployed.</w:t>
      </w:r>
    </w:p>
    <w:p w14:paraId="73A08790" w14:textId="77777777" w:rsidR="00260EC3" w:rsidRDefault="00000000">
      <w:pPr>
        <w:spacing w:before="140" w:after="20"/>
      </w:pPr>
      <w:r>
        <w:rPr>
          <w:rFonts w:ascii="Calibri" w:eastAsia="Calibri" w:hAnsi="Calibri" w:cs="Calibri"/>
          <w:b/>
          <w:bCs/>
          <w:color w:val="C9972B"/>
          <w:sz w:val="17"/>
          <w:szCs w:val="17"/>
        </w:rPr>
        <w:t xml:space="preserve">NOV 2020–MAR 2021  </w:t>
      </w:r>
      <w:r>
        <w:rPr>
          <w:rFonts w:ascii="Calibri" w:eastAsia="Calibri" w:hAnsi="Calibri" w:cs="Calibri"/>
          <w:b/>
          <w:bCs/>
          <w:color w:val="10233F"/>
          <w:sz w:val="22"/>
          <w:szCs w:val="22"/>
        </w:rPr>
        <w:t>Vaccine &amp; Freight Turnaround</w:t>
      </w:r>
    </w:p>
    <w:p w14:paraId="707D9DCA" w14:textId="77777777" w:rsidR="00260EC3" w:rsidRDefault="00000000">
      <w:pPr>
        <w:spacing w:after="100"/>
      </w:pPr>
      <w:r>
        <w:rPr>
          <w:rFonts w:ascii="Calibri" w:eastAsia="Calibri" w:hAnsi="Calibri" w:cs="Calibri"/>
          <w:color w:val="444444"/>
        </w:rPr>
        <w:t>13,400+ cargo-only flights; cargo revenue tops $2B, cushioning passenger losses.</w:t>
      </w:r>
    </w:p>
    <w:p w14:paraId="1E1B3F9A" w14:textId="77777777" w:rsidR="00260EC3" w:rsidRDefault="00000000">
      <w:pPr>
        <w:spacing w:before="140" w:after="20"/>
      </w:pPr>
      <w:r>
        <w:rPr>
          <w:rFonts w:ascii="Calibri" w:eastAsia="Calibri" w:hAnsi="Calibri" w:cs="Calibri"/>
          <w:b/>
          <w:bCs/>
          <w:color w:val="C9972B"/>
          <w:sz w:val="17"/>
          <w:szCs w:val="17"/>
        </w:rPr>
        <w:t xml:space="preserve">FY 2022–2023  </w:t>
      </w:r>
      <w:r>
        <w:rPr>
          <w:rFonts w:ascii="Calibri" w:eastAsia="Calibri" w:hAnsi="Calibri" w:cs="Calibri"/>
          <w:b/>
          <w:bCs/>
          <w:color w:val="10233F"/>
          <w:sz w:val="22"/>
          <w:szCs w:val="22"/>
        </w:rPr>
        <w:t>Full-Year Profitability Achieved</w:t>
      </w:r>
    </w:p>
    <w:p w14:paraId="1663BC1B" w14:textId="77777777" w:rsidR="00260EC3" w:rsidRDefault="00000000">
      <w:pPr>
        <w:spacing w:after="100"/>
      </w:pPr>
      <w:r>
        <w:rPr>
          <w:rFonts w:ascii="Calibri" w:eastAsia="Calibri" w:hAnsi="Calibri" w:cs="Calibri"/>
          <w:color w:val="444444"/>
        </w:rPr>
        <w:t>Revenue rebounds to $57.43B as the intact widebody fleet captures global market share.</w:t>
      </w:r>
    </w:p>
    <w:p w14:paraId="0B342464" w14:textId="77777777" w:rsidR="00260EC3" w:rsidRDefault="00000000">
      <w:pPr>
        <w:spacing w:before="260" w:after="120"/>
      </w:pPr>
      <w:r>
        <w:rPr>
          <w:rFonts w:ascii="Cambria" w:eastAsia="Cambria" w:hAnsi="Cambria" w:cs="Cambria"/>
          <w:b/>
          <w:bCs/>
          <w:color w:val="10233F"/>
          <w:sz w:val="26"/>
          <w:szCs w:val="26"/>
        </w:rPr>
        <w:t>Cargo Pivot in Charts</w:t>
      </w:r>
    </w:p>
    <w:p w14:paraId="6A64B5DD" w14:textId="77777777" w:rsidR="00260EC3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36F19402" wp14:editId="6CC7DF53">
            <wp:extent cx="4953000" cy="2714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DF90" w14:textId="77777777" w:rsidR="00260EC3" w:rsidRDefault="00000000">
      <w:pPr>
        <w:spacing w:after="1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Cargo revenue generated: $2B+     |     Widebody dry-ice workflow expansion: +400%</w:t>
      </w:r>
    </w:p>
    <w:p w14:paraId="410A6FF4" w14:textId="77777777" w:rsidR="00260EC3" w:rsidRDefault="00000000">
      <w:r>
        <w:br w:type="page"/>
      </w:r>
    </w:p>
    <w:p w14:paraId="4875B8E9" w14:textId="77777777" w:rsidR="00260EC3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10233F"/>
        </w:rPr>
        <w:lastRenderedPageBreak/>
        <w:t>Strategic Interventions Deployed</w:t>
      </w:r>
    </w:p>
    <w:p w14:paraId="6743913E" w14:textId="77777777" w:rsidR="00260EC3" w:rsidRDefault="00000000">
      <w:pPr>
        <w:spacing w:after="200"/>
      </w:pPr>
      <w:r>
        <w:rPr>
          <w:rFonts w:ascii="Calibri" w:eastAsia="Calibri" w:hAnsi="Calibri" w:cs="Calibri"/>
          <w:i/>
          <w:iCs/>
          <w:color w:val="5B6B82"/>
          <w:sz w:val="22"/>
          <w:szCs w:val="22"/>
        </w:rPr>
        <w:t>Four moves that protected operating capacity through the downturn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60EC3" w14:paraId="2DBEC29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2627E61F" w14:textId="77777777" w:rsidR="00260EC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0233F"/>
                <w:sz w:val="23"/>
                <w:szCs w:val="23"/>
              </w:rPr>
              <w:t>Loyalty Asset Segregation</w:t>
            </w:r>
          </w:p>
          <w:p w14:paraId="63B3EAA2" w14:textId="77777777" w:rsidR="00260EC3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444444"/>
              </w:rPr>
              <w:t>Isolated MileagePlus into a standalone subsidiary used as debt collateral.</w:t>
            </w:r>
          </w:p>
          <w:p w14:paraId="083D2B9C" w14:textId="77777777" w:rsidR="00260EC3" w:rsidRDefault="00000000">
            <w:r>
              <w:rPr>
                <w:rFonts w:ascii="Calibri" w:eastAsia="Calibri" w:hAnsi="Calibri" w:cs="Calibri"/>
                <w:b/>
                <w:bCs/>
                <w:color w:val="C9972B"/>
                <w:sz w:val="19"/>
                <w:szCs w:val="19"/>
              </w:rPr>
              <w:t xml:space="preserve">RESULT: </w:t>
            </w:r>
            <w:r>
              <w:rPr>
                <w:rFonts w:ascii="Calibri" w:eastAsia="Calibri" w:hAnsi="Calibri" w:cs="Calibri"/>
                <w:b/>
                <w:bCs/>
                <w:color w:val="10233F"/>
                <w:sz w:val="19"/>
                <w:szCs w:val="19"/>
              </w:rPr>
              <w:t>Secured $6.8B in private capital</w:t>
            </w:r>
          </w:p>
        </w:tc>
      </w:tr>
    </w:tbl>
    <w:p w14:paraId="0A3BAFD7" w14:textId="77777777" w:rsidR="00260EC3" w:rsidRDefault="00260EC3">
      <w:pPr>
        <w:spacing w:after="1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60EC3" w14:paraId="6E958DE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2ED57930" w14:textId="77777777" w:rsidR="00260EC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0233F"/>
                <w:sz w:val="23"/>
                <w:szCs w:val="23"/>
              </w:rPr>
              <w:t>Underbelly Capacity &amp; Cold-Chain</w:t>
            </w:r>
          </w:p>
          <w:p w14:paraId="4E96F51D" w14:textId="77777777" w:rsidR="00260EC3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444444"/>
              </w:rPr>
              <w:t>Reconfigured idle widebody holds for premium freight within 7 days.</w:t>
            </w:r>
          </w:p>
          <w:p w14:paraId="104628BD" w14:textId="77777777" w:rsidR="00260EC3" w:rsidRDefault="00000000">
            <w:r>
              <w:rPr>
                <w:rFonts w:ascii="Calibri" w:eastAsia="Calibri" w:hAnsi="Calibri" w:cs="Calibri"/>
                <w:b/>
                <w:bCs/>
                <w:color w:val="C9972B"/>
                <w:sz w:val="19"/>
                <w:szCs w:val="19"/>
              </w:rPr>
              <w:t xml:space="preserve">RESULT: </w:t>
            </w:r>
            <w:r>
              <w:rPr>
                <w:rFonts w:ascii="Calibri" w:eastAsia="Calibri" w:hAnsi="Calibri" w:cs="Calibri"/>
                <w:b/>
                <w:bCs/>
                <w:color w:val="10233F"/>
                <w:sz w:val="19"/>
                <w:szCs w:val="19"/>
              </w:rPr>
              <w:t>13,400+ vaccine-logistics flights</w:t>
            </w:r>
          </w:p>
        </w:tc>
      </w:tr>
    </w:tbl>
    <w:p w14:paraId="7A7206C5" w14:textId="77777777" w:rsidR="00260EC3" w:rsidRDefault="00260EC3">
      <w:pPr>
        <w:spacing w:after="1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60EC3" w14:paraId="295C30C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037ABFC3" w14:textId="77777777" w:rsidR="00260EC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0233F"/>
                <w:sz w:val="23"/>
                <w:szCs w:val="23"/>
              </w:rPr>
              <w:t>Counter-Cyclical Asset "Hoarding"</w:t>
            </w:r>
          </w:p>
          <w:p w14:paraId="171B49A0" w14:textId="77777777" w:rsidR="00260EC3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444444"/>
              </w:rPr>
              <w:t>Kept widebodies in high-readiness storage while rivals downsized.</w:t>
            </w:r>
          </w:p>
          <w:p w14:paraId="0CE431EE" w14:textId="77777777" w:rsidR="00260EC3" w:rsidRDefault="00000000">
            <w:r>
              <w:rPr>
                <w:rFonts w:ascii="Calibri" w:eastAsia="Calibri" w:hAnsi="Calibri" w:cs="Calibri"/>
                <w:b/>
                <w:bCs/>
                <w:color w:val="C9972B"/>
                <w:sz w:val="19"/>
                <w:szCs w:val="19"/>
              </w:rPr>
              <w:t xml:space="preserve">RESULT: </w:t>
            </w:r>
            <w:r>
              <w:rPr>
                <w:rFonts w:ascii="Calibri" w:eastAsia="Calibri" w:hAnsi="Calibri" w:cs="Calibri"/>
                <w:b/>
                <w:bCs/>
                <w:color w:val="10233F"/>
                <w:sz w:val="19"/>
                <w:szCs w:val="19"/>
              </w:rPr>
              <w:t>36 active transatlantic destinations</w:t>
            </w:r>
          </w:p>
        </w:tc>
      </w:tr>
    </w:tbl>
    <w:p w14:paraId="50C840C5" w14:textId="77777777" w:rsidR="00260EC3" w:rsidRDefault="00260EC3">
      <w:pPr>
        <w:spacing w:after="1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60EC3" w14:paraId="058057E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2D69B6C9" w14:textId="77777777" w:rsidR="00260EC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0233F"/>
                <w:sz w:val="23"/>
                <w:szCs w:val="23"/>
              </w:rPr>
              <w:t>Fleet "Up-Gauging" Optimization</w:t>
            </w:r>
          </w:p>
          <w:p w14:paraId="54DB8B6B" w14:textId="581AAD28" w:rsidR="00260EC3" w:rsidRDefault="00000000" w:rsidP="00B26393">
            <w:pPr>
              <w:spacing w:after="120"/>
            </w:pPr>
            <w:r>
              <w:rPr>
                <w:rFonts w:ascii="Calibri" w:eastAsia="Calibri" w:hAnsi="Calibri" w:cs="Calibri"/>
                <w:color w:val="444444"/>
              </w:rPr>
              <w:t>Predictive models shifted capacity from regional jets to mainline aircraft.</w:t>
            </w:r>
            <w:r w:rsidR="00B26393">
              <w:rPr>
                <w:rFonts w:ascii="Calibri" w:eastAsia="Calibri" w:hAnsi="Calibri" w:cs="Calibri"/>
                <w:color w:val="444444"/>
              </w:rPr>
              <w:t xml:space="preserve"> </w:t>
            </w:r>
            <w:r w:rsidR="00B26393" w:rsidRPr="00B26393">
              <w:rPr>
                <w:rFonts w:ascii="Calibri" w:eastAsia="Calibri" w:hAnsi="Calibri" w:cs="Calibri"/>
                <w:color w:val="444444"/>
              </w:rPr>
              <w:t xml:space="preserve">As part of this, United ordered </w:t>
            </w:r>
            <w:r w:rsidR="00B26393" w:rsidRPr="00B26393">
              <w:rPr>
                <w:rFonts w:ascii="Calibri" w:eastAsia="Calibri" w:hAnsi="Calibri" w:cs="Calibri"/>
                <w:b/>
                <w:bCs/>
                <w:color w:val="444444"/>
              </w:rPr>
              <w:t>274 new narrowbody aircraft</w:t>
            </w:r>
            <w:r w:rsidR="00B26393" w:rsidRPr="00B26393">
              <w:rPr>
                <w:rFonts w:ascii="Calibri" w:eastAsia="Calibri" w:hAnsi="Calibri" w:cs="Calibri"/>
                <w:color w:val="444444"/>
              </w:rPr>
              <w:t xml:space="preserve"> (Boeing 737 MAX and Airbus A321neo) to systematically phase out low-yield 50-seat regional jets.</w:t>
            </w:r>
            <w:r w:rsidR="00B26393" w:rsidRPr="00B26393">
              <w:rPr>
                <w:rFonts w:ascii="Calibri" w:eastAsia="Calibri" w:hAnsi="Calibri" w:cs="Calibri"/>
                <w:color w:val="444444"/>
              </w:rPr>
              <w:br/>
            </w:r>
            <w:r>
              <w:rPr>
                <w:rFonts w:ascii="Calibri" w:eastAsia="Calibri" w:hAnsi="Calibri" w:cs="Calibri"/>
                <w:b/>
                <w:bCs/>
                <w:color w:val="C9972B"/>
                <w:sz w:val="19"/>
                <w:szCs w:val="19"/>
              </w:rPr>
              <w:t xml:space="preserve">RESULT: </w:t>
            </w:r>
            <w:r>
              <w:rPr>
                <w:rFonts w:ascii="Calibri" w:eastAsia="Calibri" w:hAnsi="Calibri" w:cs="Calibri"/>
                <w:b/>
                <w:bCs/>
                <w:color w:val="10233F"/>
                <w:sz w:val="19"/>
                <w:szCs w:val="19"/>
              </w:rPr>
              <w:t>Seats/departure up 40%, CASM down</w:t>
            </w:r>
          </w:p>
        </w:tc>
      </w:tr>
    </w:tbl>
    <w:p w14:paraId="27B8C5BC" w14:textId="77777777" w:rsidR="00260EC3" w:rsidRDefault="00260EC3">
      <w:pPr>
        <w:spacing w:after="160"/>
      </w:pPr>
    </w:p>
    <w:p w14:paraId="76867318" w14:textId="77777777" w:rsidR="00260EC3" w:rsidRDefault="00000000">
      <w:r>
        <w:br w:type="page"/>
      </w:r>
    </w:p>
    <w:p w14:paraId="1EFA4998" w14:textId="77777777" w:rsidR="00260EC3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10233F"/>
        </w:rPr>
        <w:lastRenderedPageBreak/>
        <w:t>Before vs. After: Performance Dashboard</w:t>
      </w:r>
    </w:p>
    <w:p w14:paraId="02E61906" w14:textId="77777777" w:rsidR="00260EC3" w:rsidRDefault="00000000">
      <w:pPr>
        <w:spacing w:after="200"/>
      </w:pPr>
      <w:r>
        <w:rPr>
          <w:rFonts w:ascii="Calibri" w:eastAsia="Calibri" w:hAnsi="Calibri" w:cs="Calibri"/>
          <w:i/>
          <w:iCs/>
          <w:color w:val="5B6B82"/>
          <w:sz w:val="22"/>
          <w:szCs w:val="22"/>
        </w:rPr>
        <w:t>FY2020 crisis low vs. FY2023 recovery snapshot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260EC3" w14:paraId="06E6459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100" w:type="dxa"/>
            </w:tcMar>
          </w:tcPr>
          <w:p w14:paraId="505AB5A0" w14:textId="77777777" w:rsidR="00260EC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CF61BF" wp14:editId="10E5BA20">
                  <wp:extent cx="2857500" cy="1943100"/>
                  <wp:effectExtent l="0" t="0" r="0" b="0"/>
                  <wp:docPr id="125395911" name="Picture 1253959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100" w:type="dxa"/>
            </w:tcMar>
          </w:tcPr>
          <w:p w14:paraId="42F688AE" w14:textId="77777777" w:rsidR="00260EC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221A04" wp14:editId="2F4CF4BB">
                  <wp:extent cx="2857500" cy="1943100"/>
                  <wp:effectExtent l="0" t="0" r="0" b="0"/>
                  <wp:docPr id="1222267407" name="Picture 1222267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098009" w14:textId="77777777" w:rsidR="00260EC3" w:rsidRDefault="00260EC3">
      <w:pPr>
        <w:spacing w:before="2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260EC3" w14:paraId="409A676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100" w:type="dxa"/>
            </w:tcMar>
          </w:tcPr>
          <w:p w14:paraId="4681B79B" w14:textId="77777777" w:rsidR="00260EC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556547" wp14:editId="051B293E">
                  <wp:extent cx="2857500" cy="1943100"/>
                  <wp:effectExtent l="0" t="0" r="0" b="0"/>
                  <wp:docPr id="1651524255" name="Picture 1651524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100" w:type="dxa"/>
            </w:tcMar>
            <w:vAlign w:val="center"/>
          </w:tcPr>
          <w:p w14:paraId="796D8315" w14:textId="77777777" w:rsidR="00260EC3" w:rsidRDefault="00000000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10233F"/>
                <w:sz w:val="21"/>
                <w:szCs w:val="21"/>
              </w:rPr>
              <w:t xml:space="preserve">Private capital raised: </w:t>
            </w:r>
            <w:r>
              <w:rPr>
                <w:rFonts w:ascii="Calibri" w:eastAsia="Calibri" w:hAnsi="Calibri" w:cs="Calibri"/>
                <w:b/>
                <w:bCs/>
                <w:color w:val="C9972B"/>
                <w:sz w:val="21"/>
                <w:szCs w:val="21"/>
              </w:rPr>
              <w:t>$26B+</w:t>
            </w:r>
          </w:p>
          <w:p w14:paraId="794AAB4B" w14:textId="77777777" w:rsidR="00260EC3" w:rsidRDefault="00000000">
            <w:r>
              <w:rPr>
                <w:rFonts w:ascii="Calibri" w:eastAsia="Calibri" w:hAnsi="Calibri" w:cs="Calibri"/>
                <w:b/>
                <w:bCs/>
                <w:color w:val="10233F"/>
                <w:sz w:val="21"/>
                <w:szCs w:val="21"/>
              </w:rPr>
              <w:t xml:space="preserve">Active transatlantic routes: </w:t>
            </w:r>
            <w:r>
              <w:rPr>
                <w:rFonts w:ascii="Calibri" w:eastAsia="Calibri" w:hAnsi="Calibri" w:cs="Calibri"/>
                <w:b/>
                <w:bCs/>
                <w:color w:val="C9972B"/>
                <w:sz w:val="21"/>
                <w:szCs w:val="21"/>
              </w:rPr>
              <w:t>36</w:t>
            </w:r>
          </w:p>
        </w:tc>
      </w:tr>
    </w:tbl>
    <w:p w14:paraId="7E7D26A4" w14:textId="77777777" w:rsidR="00260EC3" w:rsidRDefault="00260EC3">
      <w:pPr>
        <w:spacing w:before="300"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3"/>
        <w:gridCol w:w="3323"/>
        <w:gridCol w:w="3424"/>
      </w:tblGrid>
      <w:tr w:rsidR="00260EC3" w14:paraId="6244FF2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10233F"/>
              <w:left w:val="single" w:sz="4" w:space="0" w:color="10233F"/>
              <w:bottom w:val="single" w:sz="4" w:space="0" w:color="10233F"/>
              <w:right w:val="single" w:sz="4" w:space="0" w:color="10233F"/>
            </w:tcBorders>
            <w:shd w:val="clear" w:color="auto" w:fill="10233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404E14" w14:textId="77777777" w:rsidR="00260EC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Metric</w:t>
            </w:r>
          </w:p>
        </w:tc>
        <w:tc>
          <w:tcPr>
            <w:tcW w:w="1650" w:type="pct"/>
            <w:tcBorders>
              <w:top w:val="single" w:sz="4" w:space="0" w:color="10233F"/>
              <w:left w:val="single" w:sz="4" w:space="0" w:color="10233F"/>
              <w:bottom w:val="single" w:sz="4" w:space="0" w:color="10233F"/>
              <w:right w:val="single" w:sz="4" w:space="0" w:color="10233F"/>
            </w:tcBorders>
            <w:shd w:val="clear" w:color="auto" w:fill="10233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000958" w14:textId="77777777" w:rsidR="00260EC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FY2020</w:t>
            </w:r>
          </w:p>
        </w:tc>
        <w:tc>
          <w:tcPr>
            <w:tcW w:w="1700" w:type="pct"/>
            <w:tcBorders>
              <w:top w:val="single" w:sz="4" w:space="0" w:color="10233F"/>
              <w:left w:val="single" w:sz="4" w:space="0" w:color="10233F"/>
              <w:bottom w:val="single" w:sz="4" w:space="0" w:color="10233F"/>
              <w:right w:val="single" w:sz="4" w:space="0" w:color="10233F"/>
            </w:tcBorders>
            <w:shd w:val="clear" w:color="auto" w:fill="10233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7331A9" w14:textId="77777777" w:rsidR="00260EC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FY2023</w:t>
            </w:r>
          </w:p>
        </w:tc>
      </w:tr>
      <w:tr w:rsidR="00260EC3" w14:paraId="564A440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E3E7EE"/>
              <w:left w:val="single" w:sz="4" w:space="0" w:color="E3E7EE"/>
              <w:bottom w:val="single" w:sz="4" w:space="0" w:color="E3E7EE"/>
              <w:right w:val="single" w:sz="4" w:space="0" w:color="E3E7E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FE58F0" w14:textId="77777777" w:rsidR="00260EC3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Average Seats / Departure</w:t>
            </w:r>
          </w:p>
        </w:tc>
        <w:tc>
          <w:tcPr>
            <w:tcW w:w="1650" w:type="pct"/>
            <w:tcBorders>
              <w:top w:val="single" w:sz="4" w:space="0" w:color="E3E7EE"/>
              <w:left w:val="single" w:sz="4" w:space="0" w:color="E3E7EE"/>
              <w:bottom w:val="single" w:sz="4" w:space="0" w:color="E3E7EE"/>
              <w:right w:val="single" w:sz="4" w:space="0" w:color="E3E7E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A69EC5" w14:textId="77777777" w:rsidR="00260EC3" w:rsidRDefault="00000000">
            <w:r>
              <w:rPr>
                <w:rFonts w:ascii="Calibri" w:eastAsia="Calibri" w:hAnsi="Calibri" w:cs="Calibri"/>
                <w:color w:val="222222"/>
              </w:rPr>
              <w:t>Low baseline (regional-heavy)</w:t>
            </w:r>
          </w:p>
        </w:tc>
        <w:tc>
          <w:tcPr>
            <w:tcW w:w="1700" w:type="pct"/>
            <w:tcBorders>
              <w:top w:val="single" w:sz="4" w:space="0" w:color="E3E7EE"/>
              <w:left w:val="single" w:sz="4" w:space="0" w:color="E3E7EE"/>
              <w:bottom w:val="single" w:sz="4" w:space="0" w:color="E3E7EE"/>
              <w:right w:val="single" w:sz="4" w:space="0" w:color="E3E7E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25AC28" w14:textId="77777777" w:rsidR="00260EC3" w:rsidRDefault="00000000">
            <w:r>
              <w:rPr>
                <w:rFonts w:ascii="Calibri" w:eastAsia="Calibri" w:hAnsi="Calibri" w:cs="Calibri"/>
                <w:color w:val="222222"/>
              </w:rPr>
              <w:t>+40% (mainline up-gauged)</w:t>
            </w:r>
          </w:p>
        </w:tc>
      </w:tr>
      <w:tr w:rsidR="00260EC3" w14:paraId="7960E2A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E3E7EE"/>
              <w:left w:val="single" w:sz="4" w:space="0" w:color="E3E7EE"/>
              <w:bottom w:val="single" w:sz="4" w:space="0" w:color="E3E7EE"/>
              <w:right w:val="single" w:sz="4" w:space="0" w:color="E3E7EE"/>
            </w:tcBorders>
            <w:shd w:val="clear" w:color="auto" w:fill="F3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20EE60" w14:textId="77777777" w:rsidR="00260EC3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Transatlantic Footprint</w:t>
            </w:r>
          </w:p>
        </w:tc>
        <w:tc>
          <w:tcPr>
            <w:tcW w:w="1650" w:type="pct"/>
            <w:tcBorders>
              <w:top w:val="single" w:sz="4" w:space="0" w:color="E3E7EE"/>
              <w:left w:val="single" w:sz="4" w:space="0" w:color="E3E7EE"/>
              <w:bottom w:val="single" w:sz="4" w:space="0" w:color="E3E7EE"/>
              <w:right w:val="single" w:sz="4" w:space="0" w:color="E3E7EE"/>
            </w:tcBorders>
            <w:shd w:val="clear" w:color="auto" w:fill="F3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65C24C" w14:textId="77777777" w:rsidR="00260EC3" w:rsidRDefault="00000000">
            <w:r>
              <w:rPr>
                <w:rFonts w:ascii="Calibri" w:eastAsia="Calibri" w:hAnsi="Calibri" w:cs="Calibri"/>
                <w:color w:val="222222"/>
              </w:rPr>
              <w:t>Retrenched / suspended</w:t>
            </w:r>
          </w:p>
        </w:tc>
        <w:tc>
          <w:tcPr>
            <w:tcW w:w="1700" w:type="pct"/>
            <w:tcBorders>
              <w:top w:val="single" w:sz="4" w:space="0" w:color="E3E7EE"/>
              <w:left w:val="single" w:sz="4" w:space="0" w:color="E3E7EE"/>
              <w:bottom w:val="single" w:sz="4" w:space="0" w:color="E3E7EE"/>
              <w:right w:val="single" w:sz="4" w:space="0" w:color="E3E7EE"/>
            </w:tcBorders>
            <w:shd w:val="clear" w:color="auto" w:fill="F3F5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DBCD54" w14:textId="77777777" w:rsidR="00260EC3" w:rsidRDefault="00000000">
            <w:r>
              <w:rPr>
                <w:rFonts w:ascii="Calibri" w:eastAsia="Calibri" w:hAnsi="Calibri" w:cs="Calibri"/>
                <w:color w:val="222222"/>
              </w:rPr>
              <w:t>36 destinations (industry leader)</w:t>
            </w:r>
          </w:p>
        </w:tc>
      </w:tr>
      <w:tr w:rsidR="00260EC3" w14:paraId="3791F90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E3E7EE"/>
              <w:left w:val="single" w:sz="4" w:space="0" w:color="E3E7EE"/>
              <w:bottom w:val="single" w:sz="4" w:space="0" w:color="E3E7EE"/>
              <w:right w:val="single" w:sz="4" w:space="0" w:color="E3E7E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E5453E" w14:textId="77777777" w:rsidR="00260EC3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Financing Position</w:t>
            </w:r>
          </w:p>
        </w:tc>
        <w:tc>
          <w:tcPr>
            <w:tcW w:w="1650" w:type="pct"/>
            <w:tcBorders>
              <w:top w:val="single" w:sz="4" w:space="0" w:color="E3E7EE"/>
              <w:left w:val="single" w:sz="4" w:space="0" w:color="E3E7EE"/>
              <w:bottom w:val="single" w:sz="4" w:space="0" w:color="E3E7EE"/>
              <w:right w:val="single" w:sz="4" w:space="0" w:color="E3E7E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9E2421" w14:textId="77777777" w:rsidR="00260EC3" w:rsidRDefault="00000000">
            <w:r>
              <w:rPr>
                <w:rFonts w:ascii="Calibri" w:eastAsia="Calibri" w:hAnsi="Calibri" w:cs="Calibri"/>
                <w:color w:val="222222"/>
              </w:rPr>
              <w:t>Severe insolvency risk</w:t>
            </w:r>
          </w:p>
        </w:tc>
        <w:tc>
          <w:tcPr>
            <w:tcW w:w="1700" w:type="pct"/>
            <w:tcBorders>
              <w:top w:val="single" w:sz="4" w:space="0" w:color="E3E7EE"/>
              <w:left w:val="single" w:sz="4" w:space="0" w:color="E3E7EE"/>
              <w:bottom w:val="single" w:sz="4" w:space="0" w:color="E3E7EE"/>
              <w:right w:val="single" w:sz="4" w:space="0" w:color="E3E7E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DCE033" w14:textId="77777777" w:rsidR="00260EC3" w:rsidRDefault="00000000">
            <w:r>
              <w:rPr>
                <w:rFonts w:ascii="Calibri" w:eastAsia="Calibri" w:hAnsi="Calibri" w:cs="Calibri"/>
                <w:color w:val="222222"/>
              </w:rPr>
              <w:t>$26B+ raised, order book intact</w:t>
            </w:r>
          </w:p>
        </w:tc>
      </w:tr>
    </w:tbl>
    <w:p w14:paraId="760BDFC7" w14:textId="77777777" w:rsidR="00260EC3" w:rsidRDefault="00000000">
      <w:r>
        <w:br w:type="page"/>
      </w:r>
    </w:p>
    <w:p w14:paraId="4094CBC1" w14:textId="77777777" w:rsidR="00260EC3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10233F"/>
        </w:rPr>
        <w:lastRenderedPageBreak/>
        <w:t>Competitor Strategic Response</w:t>
      </w:r>
    </w:p>
    <w:p w14:paraId="27598BB3" w14:textId="77777777" w:rsidR="00260EC3" w:rsidRDefault="00000000">
      <w:pPr>
        <w:spacing w:after="200"/>
      </w:pPr>
      <w:r>
        <w:rPr>
          <w:rFonts w:ascii="Calibri" w:eastAsia="Calibri" w:hAnsi="Calibri" w:cs="Calibri"/>
          <w:i/>
          <w:iCs/>
          <w:color w:val="5B6B82"/>
          <w:sz w:val="22"/>
          <w:szCs w:val="22"/>
        </w:rPr>
        <w:t>While United hoarded capacity, rivals cut it</w:t>
      </w:r>
    </w:p>
    <w:p w14:paraId="31510AAD" w14:textId="77777777" w:rsidR="00260EC3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Fleet Liquidation: Major domestic rivals permanently retired entire long-haul widebody fleets to cut overhead immediately.</w:t>
      </w:r>
    </w:p>
    <w:p w14:paraId="0D134E9D" w14:textId="77777777" w:rsidR="00260EC3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International Retrenchment: Prominent international carriers early-retired legacy fleets to protect short-term liquidity.</w:t>
      </w:r>
    </w:p>
    <w:p w14:paraId="38BBA69E" w14:textId="77777777" w:rsidR="00260EC3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Capacity Reduction: Crisis playbooks centered on shrinking footprint, leaving carriers resource-constrained when demand exploded.</w:t>
      </w:r>
    </w:p>
    <w:p w14:paraId="11F3BD1D" w14:textId="77777777" w:rsidR="00260EC3" w:rsidRDefault="00260EC3">
      <w:pPr>
        <w:spacing w:before="2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260EC3" w14:paraId="25D22C8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233F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4EAAC079" w14:textId="77777777" w:rsidR="00260EC3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E8C878"/>
                <w:sz w:val="18"/>
                <w:szCs w:val="18"/>
              </w:rPr>
              <w:t>UNITED'S DIFFERENTIATED PATH</w:t>
            </w:r>
          </w:p>
          <w:p w14:paraId="07A6D1FB" w14:textId="77777777" w:rsidR="00260EC3" w:rsidRDefault="00000000">
            <w:r>
              <w:rPr>
                <w:rFonts w:ascii="Calibri" w:eastAsia="Calibri" w:hAnsi="Calibri" w:cs="Calibri"/>
                <w:color w:val="FFFFFF"/>
                <w:sz w:val="21"/>
                <w:szCs w:val="21"/>
              </w:rPr>
              <w:t>Instead of retiring aircraft, United kept its widebody fleet in high-readiness storage — absorbing holding costs so it could redeploy instantly the moment international travel demand returned, capturing market share resource-constrained rivals could not contest.</w:t>
            </w:r>
          </w:p>
        </w:tc>
      </w:tr>
    </w:tbl>
    <w:p w14:paraId="0B020BB0" w14:textId="77777777" w:rsidR="00260EC3" w:rsidRDefault="00000000">
      <w:r>
        <w:br w:type="page"/>
      </w:r>
    </w:p>
    <w:p w14:paraId="6887029A" w14:textId="77777777" w:rsidR="00260EC3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10233F"/>
        </w:rPr>
        <w:lastRenderedPageBreak/>
        <w:t>The Strategic Lesson</w:t>
      </w:r>
    </w:p>
    <w:p w14:paraId="1E7BB978" w14:textId="77777777" w:rsidR="00260EC3" w:rsidRDefault="00000000">
      <w:pPr>
        <w:spacing w:after="260"/>
      </w:pPr>
      <w:r>
        <w:rPr>
          <w:rFonts w:ascii="Calibri" w:eastAsia="Calibri" w:hAnsi="Calibri" w:cs="Calibri"/>
          <w:b/>
          <w:bCs/>
          <w:i/>
          <w:iCs/>
          <w:color w:val="C9972B"/>
          <w:sz w:val="24"/>
          <w:szCs w:val="24"/>
        </w:rPr>
        <w:t>Resilience wasn't built on cost-cutting — it was built on bold asset protection and operational pivots.</w:t>
      </w:r>
    </w:p>
    <w:p w14:paraId="0B86FD2D" w14:textId="77777777" w:rsidR="00260EC3" w:rsidRDefault="00000000">
      <w:pPr>
        <w:spacing w:after="140"/>
      </w:pPr>
      <w:r>
        <w:rPr>
          <w:rFonts w:ascii="Calibri" w:eastAsia="Calibri" w:hAnsi="Calibri" w:cs="Calibri"/>
          <w:b/>
          <w:bCs/>
          <w:color w:val="C9972B"/>
          <w:sz w:val="22"/>
          <w:szCs w:val="22"/>
        </w:rPr>
        <w:t xml:space="preserve">1.  </w:t>
      </w:r>
      <w:r>
        <w:rPr>
          <w:rFonts w:ascii="Calibri" w:eastAsia="Calibri" w:hAnsi="Calibri" w:cs="Calibri"/>
          <w:color w:val="222222"/>
          <w:sz w:val="21"/>
          <w:szCs w:val="21"/>
        </w:rPr>
        <w:t>While the textbook response was to shrink and survive, United protected operating capacity through the downturn.</w:t>
      </w:r>
    </w:p>
    <w:p w14:paraId="54AB4CE3" w14:textId="77777777" w:rsidR="00260EC3" w:rsidRDefault="00000000">
      <w:pPr>
        <w:spacing w:after="140"/>
      </w:pPr>
      <w:r>
        <w:rPr>
          <w:rFonts w:ascii="Calibri" w:eastAsia="Calibri" w:hAnsi="Calibri" w:cs="Calibri"/>
          <w:b/>
          <w:bCs/>
          <w:color w:val="C9972B"/>
          <w:sz w:val="22"/>
          <w:szCs w:val="22"/>
        </w:rPr>
        <w:t xml:space="preserve">2.  </w:t>
      </w:r>
      <w:r>
        <w:rPr>
          <w:rFonts w:ascii="Calibri" w:eastAsia="Calibri" w:hAnsi="Calibri" w:cs="Calibri"/>
          <w:color w:val="222222"/>
          <w:sz w:val="21"/>
          <w:szCs w:val="21"/>
        </w:rPr>
        <w:t>Underbelly cargo space, un-retired widebody aircraft, and segregated loyalty data became critical safety nets.</w:t>
      </w:r>
    </w:p>
    <w:p w14:paraId="4AB17A61" w14:textId="77777777" w:rsidR="00260EC3" w:rsidRDefault="00000000">
      <w:pPr>
        <w:spacing w:after="140"/>
      </w:pPr>
      <w:r>
        <w:rPr>
          <w:rFonts w:ascii="Calibri" w:eastAsia="Calibri" w:hAnsi="Calibri" w:cs="Calibri"/>
          <w:b/>
          <w:bCs/>
          <w:color w:val="C9972B"/>
          <w:sz w:val="22"/>
          <w:szCs w:val="22"/>
        </w:rPr>
        <w:t xml:space="preserve">3.  </w:t>
      </w:r>
      <w:r>
        <w:rPr>
          <w:rFonts w:ascii="Calibri" w:eastAsia="Calibri" w:hAnsi="Calibri" w:cs="Calibri"/>
          <w:color w:val="222222"/>
          <w:sz w:val="21"/>
          <w:szCs w:val="21"/>
        </w:rPr>
        <w:t>For heavy-asset industries, turnaround value peaks when capacity is preserved at market lows — ready to capture demand the instant it returns.</w:t>
      </w:r>
    </w:p>
    <w:p w14:paraId="15B0B3E2" w14:textId="77777777" w:rsidR="00260EC3" w:rsidRDefault="00000000">
      <w:pPr>
        <w:spacing w:before="400"/>
      </w:pPr>
      <w:r>
        <w:rPr>
          <w:rFonts w:ascii="Calibri" w:eastAsia="Calibri" w:hAnsi="Calibri" w:cs="Calibri"/>
          <w:i/>
          <w:iCs/>
          <w:color w:val="5B6B82"/>
          <w:sz w:val="16"/>
          <w:szCs w:val="16"/>
        </w:rPr>
        <w:t>Sources: SEC disclosures · Asset-strategy mapping · Corporate finance records · Macroeconomic projections. Figures are illustrative case-study estimates and should be independently verified before external use.</w:t>
      </w:r>
    </w:p>
    <w:sectPr w:rsidR="00260EC3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F1BC9" w14:textId="77777777" w:rsidR="008D2570" w:rsidRDefault="008D2570">
      <w:r>
        <w:separator/>
      </w:r>
    </w:p>
  </w:endnote>
  <w:endnote w:type="continuationSeparator" w:id="0">
    <w:p w14:paraId="129735E0" w14:textId="77777777" w:rsidR="008D2570" w:rsidRDefault="008D2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8070E" w14:textId="77777777" w:rsidR="00260EC3" w:rsidRDefault="00000000">
    <w:pPr>
      <w:jc w:val="center"/>
    </w:pPr>
    <w:r>
      <w:rPr>
        <w:rFonts w:ascii="Calibri" w:eastAsia="Calibri" w:hAnsi="Calibri" w:cs="Calibri"/>
        <w:color w:val="5B6B82"/>
        <w:sz w:val="15"/>
        <w:szCs w:val="15"/>
      </w:rPr>
      <w:t xml:space="preserve">Page </w:t>
    </w:r>
    <w:r>
      <w:rPr>
        <w:rFonts w:ascii="Calibri" w:eastAsia="Calibri" w:hAnsi="Calibri" w:cs="Calibri"/>
        <w:color w:val="5B6B82"/>
        <w:sz w:val="15"/>
        <w:szCs w:val="15"/>
      </w:rPr>
      <w:fldChar w:fldCharType="begin"/>
    </w:r>
    <w:r>
      <w:rPr>
        <w:rFonts w:ascii="Calibri" w:eastAsia="Calibri" w:hAnsi="Calibri" w:cs="Calibri"/>
        <w:color w:val="5B6B82"/>
        <w:sz w:val="15"/>
        <w:szCs w:val="15"/>
      </w:rPr>
      <w:instrText>PAGE</w:instrText>
    </w:r>
    <w:r>
      <w:rPr>
        <w:rFonts w:ascii="Calibri" w:eastAsia="Calibri" w:hAnsi="Calibri" w:cs="Calibri"/>
        <w:color w:val="5B6B82"/>
        <w:sz w:val="15"/>
        <w:szCs w:val="15"/>
      </w:rPr>
      <w:fldChar w:fldCharType="separate"/>
    </w:r>
    <w:r w:rsidR="00B26393">
      <w:rPr>
        <w:rFonts w:ascii="Calibri" w:eastAsia="Calibri" w:hAnsi="Calibri" w:cs="Calibri"/>
        <w:noProof/>
        <w:color w:val="5B6B82"/>
        <w:sz w:val="15"/>
        <w:szCs w:val="15"/>
      </w:rPr>
      <w:t>1</w:t>
    </w:r>
    <w:r>
      <w:rPr>
        <w:rFonts w:ascii="Calibri" w:eastAsia="Calibri" w:hAnsi="Calibri" w:cs="Calibri"/>
        <w:color w:val="5B6B82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A8E74" w14:textId="77777777" w:rsidR="008D2570" w:rsidRDefault="008D2570">
      <w:r>
        <w:separator/>
      </w:r>
    </w:p>
  </w:footnote>
  <w:footnote w:type="continuationSeparator" w:id="0">
    <w:p w14:paraId="2BB7FFB8" w14:textId="77777777" w:rsidR="008D2570" w:rsidRDefault="008D25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27CAA" w14:textId="77777777" w:rsidR="00260EC3" w:rsidRDefault="00000000">
    <w:pPr>
      <w:jc w:val="right"/>
    </w:pPr>
    <w:r>
      <w:rPr>
        <w:rFonts w:ascii="Calibri" w:eastAsia="Calibri" w:hAnsi="Calibri" w:cs="Calibri"/>
        <w:color w:val="5B6B82"/>
        <w:sz w:val="15"/>
        <w:szCs w:val="15"/>
      </w:rPr>
      <w:t>United Airlines · COVID Crisis to Recovery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F1993"/>
    <w:multiLevelType w:val="hybridMultilevel"/>
    <w:tmpl w:val="265C04FC"/>
    <w:lvl w:ilvl="0" w:tplc="B4F6B44A">
      <w:start w:val="1"/>
      <w:numFmt w:val="bullet"/>
      <w:lvlText w:val="●"/>
      <w:lvlJc w:val="left"/>
      <w:pPr>
        <w:ind w:left="720" w:hanging="360"/>
      </w:pPr>
    </w:lvl>
    <w:lvl w:ilvl="1" w:tplc="0618130A">
      <w:start w:val="1"/>
      <w:numFmt w:val="bullet"/>
      <w:lvlText w:val="○"/>
      <w:lvlJc w:val="left"/>
      <w:pPr>
        <w:ind w:left="1440" w:hanging="360"/>
      </w:pPr>
    </w:lvl>
    <w:lvl w:ilvl="2" w:tplc="AF8860EC">
      <w:start w:val="1"/>
      <w:numFmt w:val="bullet"/>
      <w:lvlText w:val="■"/>
      <w:lvlJc w:val="left"/>
      <w:pPr>
        <w:ind w:left="2160" w:hanging="360"/>
      </w:pPr>
    </w:lvl>
    <w:lvl w:ilvl="3" w:tplc="A28A1FB0">
      <w:start w:val="1"/>
      <w:numFmt w:val="bullet"/>
      <w:lvlText w:val="●"/>
      <w:lvlJc w:val="left"/>
      <w:pPr>
        <w:ind w:left="2880" w:hanging="360"/>
      </w:pPr>
    </w:lvl>
    <w:lvl w:ilvl="4" w:tplc="0C7C3B7A">
      <w:start w:val="1"/>
      <w:numFmt w:val="bullet"/>
      <w:lvlText w:val="○"/>
      <w:lvlJc w:val="left"/>
      <w:pPr>
        <w:ind w:left="3600" w:hanging="360"/>
      </w:pPr>
    </w:lvl>
    <w:lvl w:ilvl="5" w:tplc="11F8AA06">
      <w:start w:val="1"/>
      <w:numFmt w:val="bullet"/>
      <w:lvlText w:val="■"/>
      <w:lvlJc w:val="left"/>
      <w:pPr>
        <w:ind w:left="4320" w:hanging="360"/>
      </w:pPr>
    </w:lvl>
    <w:lvl w:ilvl="6" w:tplc="51FC8A1C">
      <w:start w:val="1"/>
      <w:numFmt w:val="bullet"/>
      <w:lvlText w:val="●"/>
      <w:lvlJc w:val="left"/>
      <w:pPr>
        <w:ind w:left="5040" w:hanging="360"/>
      </w:pPr>
    </w:lvl>
    <w:lvl w:ilvl="7" w:tplc="EFE0F36C">
      <w:start w:val="1"/>
      <w:numFmt w:val="bullet"/>
      <w:lvlText w:val="●"/>
      <w:lvlJc w:val="left"/>
      <w:pPr>
        <w:ind w:left="5760" w:hanging="360"/>
      </w:pPr>
    </w:lvl>
    <w:lvl w:ilvl="8" w:tplc="0F84AE6E">
      <w:start w:val="1"/>
      <w:numFmt w:val="bullet"/>
      <w:lvlText w:val="●"/>
      <w:lvlJc w:val="left"/>
      <w:pPr>
        <w:ind w:left="6480" w:hanging="360"/>
      </w:pPr>
    </w:lvl>
  </w:abstractNum>
  <w:num w:numId="1" w16cid:durableId="11427711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EC3"/>
    <w:rsid w:val="00260655"/>
    <w:rsid w:val="00260EC3"/>
    <w:rsid w:val="008D2570"/>
    <w:rsid w:val="00B2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EB83C"/>
  <w15:docId w15:val="{349C4A8A-A16F-436E-AE64-63136A6B4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609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sharmeen raza</cp:lastModifiedBy>
  <cp:revision>2</cp:revision>
  <dcterms:created xsi:type="dcterms:W3CDTF">2026-07-03T09:59:00Z</dcterms:created>
  <dcterms:modified xsi:type="dcterms:W3CDTF">2026-07-03T10:10:00Z</dcterms:modified>
</cp:coreProperties>
</file>