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/>
        <w:jc w:val="center"/>
      </w:pPr>
      <w:r>
        <w:drawing>
          <wp:inline xmlns:a="http://schemas.openxmlformats.org/drawingml/2006/main" xmlns:pic="http://schemas.openxmlformats.org/drawingml/2006/picture">
            <wp:extent cx="792000" cy="801523"/>
            <wp:docPr id="1" name="Picture 1" descr="CoreSpec Mapper 应用标志" title="CoreSpec Mapper 应用标志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espec_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92000" cy="8015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80"/>
        <w:jc w:val="center"/>
      </w:pPr>
      <w:r>
        <w:rPr>
          <w:rFonts w:ascii="Aptos Display" w:hAnsi="Aptos Display" w:eastAsia="Microsoft YaHei"/>
          <w:b/>
          <w:color w:val="2684C7"/>
          <w:sz w:val="26"/>
        </w:rPr>
        <w:t>CORESPEC MAPPER  ·  STABLE RELEASE</w:t>
      </w:r>
    </w:p>
    <w:p>
      <w:pPr>
        <w:spacing w:before="840" w:after="360"/>
        <w:jc w:val="center"/>
      </w:pPr>
      <w:r>
        <w:rPr>
          <w:rFonts w:ascii="Aptos Display" w:hAnsi="Aptos Display" w:eastAsia="Microsoft YaHei"/>
          <w:b/>
          <w:color w:val="153B5C"/>
          <w:sz w:val="50"/>
        </w:rPr>
        <w:t>CoreSpec Mapper V5.3 稳定版技术方法与系统设计</w:t>
      </w:r>
    </w:p>
    <w:p>
      <w:pPr>
        <w:spacing w:before="440"/>
        <w:jc w:val="center"/>
      </w:pPr>
      <w:r>
        <w:rPr>
          <w:rFonts w:ascii="Aptos" w:hAnsi="Aptos" w:eastAsia="Microsoft YaHei"/>
          <w:color w:val="526273"/>
          <w:sz w:val="22"/>
        </w:rPr>
        <w:t>V5.3.0 Stable  ·  2026-07-21</w:t>
        <w:br/>
        <w:t>九步桌面 · 自适应三档识别 · V14 重复列与主导走廊终检</w:t>
      </w:r>
    </w:p>
    <w:p>
      <w:pPr>
        <w:spacing w:before="1440"/>
        <w:jc w:val="center"/>
      </w:pPr>
      <w:r>
        <w:rPr>
          <w:rFonts w:ascii="Aptos" w:hAnsi="Aptos" w:eastAsia="Microsoft YaHei"/>
          <w:i/>
          <w:color w:val="7A4E00"/>
          <w:sz w:val="18"/>
        </w:rPr>
        <w:t>工程质量等级不等同于矿物学准确率；无像元级真值时不得作精度宣称。</w:t>
      </w:r>
    </w:p>
    <w:p>
      <w:r>
        <w:br w:type="page"/>
      </w:r>
    </w:p>
    <w:p>
      <w:pPr>
        <w:pStyle w:val="Heading1"/>
        <w:jc w:val="center"/>
      </w:pPr>
      <w:r>
        <w:t>目录</w:t>
      </w:r>
    </w:p>
    <w:p>
      <w:pPr>
        <w:pStyle w:val="DocumentNote"/>
        <w:jc w:val="center"/>
      </w:pPr>
      <w:r>
        <w:rPr>
          <w:rFonts w:ascii="Aptos" w:hAnsi="Aptos" w:eastAsia="Microsoft YaHei"/>
        </w:rPr>
        <w:t>静态章节目录 · 可点击跳转 · 不依赖 Word 域更新</w:t>
      </w:r>
    </w:p>
    <w:p>
      <w:pPr>
        <w:pStyle w:val="StaticTOC1"/>
      </w:pPr>
      <w:hyperlink w:anchor="v5_heading_001">
        <w:r>
          <w:rPr>
            <w:rFonts w:ascii="Aptos" w:hAnsi="Aptos" w:eastAsia="Microsoft YaHei"/>
            <w:color w:val="153B5C"/>
            <w:u w:val="none"/>
          </w:rPr>
          <w:t>1. 稳定版定位与设计原则</w:t>
        </w:r>
      </w:hyperlink>
    </w:p>
    <w:p>
      <w:pPr>
        <w:pStyle w:val="StaticTOC1"/>
      </w:pPr>
      <w:hyperlink w:anchor="v5_heading_002">
        <w:r>
          <w:rPr>
            <w:rFonts w:ascii="Aptos" w:hAnsi="Aptos" w:eastAsia="Microsoft YaHei"/>
            <w:color w:val="153B5C"/>
            <w:u w:val="none"/>
          </w:rPr>
          <w:t>2. 输入、输出与能力边界</w:t>
        </w:r>
      </w:hyperlink>
    </w:p>
    <w:p>
      <w:pPr>
        <w:pStyle w:val="StaticTOC2"/>
      </w:pPr>
      <w:hyperlink w:anchor="v5_heading_003">
        <w:r>
          <w:rPr>
            <w:rFonts w:ascii="Aptos" w:hAnsi="Aptos" w:eastAsia="Microsoft YaHei"/>
            <w:color w:val="2C6D90"/>
            <w:u w:val="none"/>
          </w:rPr>
          <w:t>2.1 主分析输入</w:t>
        </w:r>
      </w:hyperlink>
    </w:p>
    <w:p>
      <w:pPr>
        <w:pStyle w:val="StaticTOC2"/>
      </w:pPr>
      <w:hyperlink w:anchor="v5_heading_004">
        <w:r>
          <w:rPr>
            <w:rFonts w:ascii="Aptos" w:hAnsi="Aptos" w:eastAsia="Microsoft YaHei"/>
            <w:color w:val="2C6D90"/>
            <w:u w:val="none"/>
          </w:rPr>
          <w:t>2.2 当前生产能力</w:t>
        </w:r>
      </w:hyperlink>
    </w:p>
    <w:p>
      <w:pPr>
        <w:pStyle w:val="StaticTOC2"/>
      </w:pPr>
      <w:hyperlink w:anchor="v5_heading_005">
        <w:r>
          <w:rPr>
            <w:rFonts w:ascii="Aptos" w:hAnsi="Aptos" w:eastAsia="Microsoft YaHei"/>
            <w:color w:val="2C6D90"/>
            <w:u w:val="none"/>
          </w:rPr>
          <w:t>2.3 主要输出</w:t>
        </w:r>
      </w:hyperlink>
    </w:p>
    <w:p>
      <w:pPr>
        <w:pStyle w:val="StaticTOC1"/>
      </w:pPr>
      <w:hyperlink w:anchor="v5_heading_006">
        <w:r>
          <w:rPr>
            <w:rFonts w:ascii="Aptos" w:hAnsi="Aptos" w:eastAsia="Microsoft YaHei"/>
            <w:color w:val="153B5C"/>
            <w:u w:val="none"/>
          </w:rPr>
          <w:t>3. 私有标准谱数据库与质量控制</w:t>
        </w:r>
      </w:hyperlink>
    </w:p>
    <w:p>
      <w:pPr>
        <w:pStyle w:val="StaticTOC1"/>
      </w:pPr>
      <w:hyperlink w:anchor="v5_heading_007">
        <w:r>
          <w:rPr>
            <w:rFonts w:ascii="Aptos" w:hAnsi="Aptos" w:eastAsia="Microsoft YaHei"/>
            <w:color w:val="153B5C"/>
            <w:u w:val="none"/>
          </w:rPr>
          <w:t>4. 传感器适配与预处理</w:t>
        </w:r>
      </w:hyperlink>
    </w:p>
    <w:p>
      <w:pPr>
        <w:pStyle w:val="StaticTOC2"/>
      </w:pPr>
      <w:hyperlink w:anchor="v5_heading_008">
        <w:r>
          <w:rPr>
            <w:rFonts w:ascii="Aptos" w:hAnsi="Aptos" w:eastAsia="Microsoft YaHei"/>
            <w:color w:val="2C6D90"/>
            <w:u w:val="none"/>
          </w:rPr>
          <w:t>4.1 波长与 FWHM 适配</w:t>
        </w:r>
      </w:hyperlink>
    </w:p>
    <w:p>
      <w:pPr>
        <w:pStyle w:val="StaticTOC2"/>
      </w:pPr>
      <w:hyperlink w:anchor="v5_heading_009">
        <w:r>
          <w:rPr>
            <w:rFonts w:ascii="Aptos" w:hAnsi="Aptos" w:eastAsia="Microsoft YaHei"/>
            <w:color w:val="2C6D90"/>
            <w:u w:val="none"/>
          </w:rPr>
          <w:t>4.2 SG 平滑与数据物理</w:t>
        </w:r>
      </w:hyperlink>
    </w:p>
    <w:p>
      <w:pPr>
        <w:pStyle w:val="StaticTOC2"/>
      </w:pPr>
      <w:hyperlink w:anchor="v5_heading_010">
        <w:r>
          <w:rPr>
            <w:rFonts w:ascii="Aptos" w:hAnsi="Aptos" w:eastAsia="Microsoft YaHei"/>
            <w:color w:val="2C6D90"/>
            <w:u w:val="none"/>
          </w:rPr>
          <w:t>4.3 连续统去除与特征域</w:t>
        </w:r>
      </w:hyperlink>
    </w:p>
    <w:p>
      <w:pPr>
        <w:pStyle w:val="StaticTOC1"/>
      </w:pPr>
      <w:hyperlink w:anchor="v5_heading_011">
        <w:r>
          <w:rPr>
            <w:rFonts w:ascii="Aptos" w:hAnsi="Aptos" w:eastAsia="Microsoft YaHei"/>
            <w:color w:val="153B5C"/>
            <w:u w:val="none"/>
          </w:rPr>
          <w:t>5. 岩心前景掩膜</w:t>
        </w:r>
      </w:hyperlink>
    </w:p>
    <w:p>
      <w:pPr>
        <w:pStyle w:val="StaticTOC1"/>
      </w:pPr>
      <w:hyperlink w:anchor="v5_heading_012">
        <w:r>
          <w:rPr>
            <w:rFonts w:ascii="Aptos" w:hAnsi="Aptos" w:eastAsia="Microsoft YaHei"/>
            <w:color w:val="153B5C"/>
            <w:u w:val="none"/>
          </w:rPr>
          <w:t>6. 三段式矿物识别主流程</w:t>
        </w:r>
      </w:hyperlink>
    </w:p>
    <w:p>
      <w:pPr>
        <w:pStyle w:val="StaticTOC2"/>
      </w:pPr>
      <w:hyperlink w:anchor="v5_heading_013">
        <w:r>
          <w:rPr>
            <w:rFonts w:ascii="Aptos" w:hAnsi="Aptos" w:eastAsia="Microsoft YaHei"/>
            <w:color w:val="2C6D90"/>
            <w:u w:val="none"/>
          </w:rPr>
          <w:t>6.1 第一段：宽松的大类 SAM 候选发现</w:t>
        </w:r>
      </w:hyperlink>
    </w:p>
    <w:p>
      <w:pPr>
        <w:pStyle w:val="StaticTOC2"/>
      </w:pPr>
      <w:hyperlink w:anchor="v5_heading_014">
        <w:r>
          <w:rPr>
            <w:rFonts w:ascii="Aptos" w:hAnsi="Aptos" w:eastAsia="Microsoft YaHei"/>
            <w:color w:val="2C6D90"/>
            <w:u w:val="none"/>
          </w:rPr>
          <w:t>6.2 第二段：矿物级 SFF 与诊断特征细分</w:t>
        </w:r>
      </w:hyperlink>
    </w:p>
    <w:p>
      <w:pPr>
        <w:pStyle w:val="StaticTOC2"/>
      </w:pPr>
      <w:hyperlink w:anchor="v5_heading_015">
        <w:r>
          <w:rPr>
            <w:rFonts w:ascii="Aptos" w:hAnsi="Aptos" w:eastAsia="Microsoft YaHei"/>
            <w:color w:val="2C6D90"/>
            <w:u w:val="none"/>
          </w:rPr>
          <w:t>6.3 相似矿物竞争</w:t>
        </w:r>
      </w:hyperlink>
    </w:p>
    <w:p>
      <w:pPr>
        <w:pStyle w:val="StaticTOC1"/>
      </w:pPr>
      <w:hyperlink w:anchor="v5_heading_016">
        <w:r>
          <w:rPr>
            <w:rFonts w:ascii="Aptos" w:hAnsi="Aptos" w:eastAsia="Microsoft YaHei"/>
            <w:color w:val="153B5C"/>
            <w:u w:val="none"/>
          </w:rPr>
          <w:t>7. 阈值联合试算与三档职责</w:t>
        </w:r>
      </w:hyperlink>
    </w:p>
    <w:p>
      <w:pPr>
        <w:pStyle w:val="StaticTOC2"/>
      </w:pPr>
      <w:hyperlink w:anchor="v5_heading_017">
        <w:r>
          <w:rPr>
            <w:rFonts w:ascii="Aptos" w:hAnsi="Aptos" w:eastAsia="Microsoft YaHei"/>
            <w:color w:val="2C6D90"/>
            <w:u w:val="none"/>
          </w:rPr>
          <w:t>7.1 Catalog 有界搜索</w:t>
        </w:r>
      </w:hyperlink>
    </w:p>
    <w:p>
      <w:pPr>
        <w:pStyle w:val="StaticTOC2"/>
      </w:pPr>
      <w:hyperlink w:anchor="v5_heading_018">
        <w:r>
          <w:rPr>
            <w:rFonts w:ascii="Aptos" w:hAnsi="Aptos" w:eastAsia="Microsoft YaHei"/>
            <w:color w:val="2C6D90"/>
            <w:u w:val="none"/>
          </w:rPr>
          <w:t>7.2 严格、平衡、敏感</w:t>
        </w:r>
      </w:hyperlink>
    </w:p>
    <w:p>
      <w:pPr>
        <w:pStyle w:val="StaticTOC1"/>
      </w:pPr>
      <w:hyperlink w:anchor="v5_heading_019">
        <w:r>
          <w:rPr>
            <w:rFonts w:ascii="Aptos" w:hAnsi="Aptos" w:eastAsia="Microsoft YaHei"/>
            <w:color w:val="153B5C"/>
            <w:u w:val="none"/>
          </w:rPr>
          <w:t>8. 纵向条带噪声抑制 V14</w:t>
        </w:r>
      </w:hyperlink>
    </w:p>
    <w:p>
      <w:pPr>
        <w:pStyle w:val="StaticTOC2"/>
      </w:pPr>
      <w:hyperlink w:anchor="v5_heading_020">
        <w:r>
          <w:rPr>
            <w:rFonts w:ascii="Aptos" w:hAnsi="Aptos" w:eastAsia="Microsoft YaHei"/>
            <w:color w:val="2C6D90"/>
            <w:u w:val="none"/>
          </w:rPr>
          <w:t>8.1 为什么不能只看全图列密度</w:t>
        </w:r>
      </w:hyperlink>
    </w:p>
    <w:p>
      <w:pPr>
        <w:pStyle w:val="StaticTOC2"/>
      </w:pPr>
      <w:hyperlink w:anchor="v5_heading_021">
        <w:r>
          <w:rPr>
            <w:rFonts w:ascii="Aptos" w:hAnsi="Aptos" w:eastAsia="Microsoft YaHei"/>
            <w:color w:val="2C6D90"/>
            <w:u w:val="none"/>
          </w:rPr>
          <w:t>8.2 重复窄列检测</w:t>
        </w:r>
      </w:hyperlink>
    </w:p>
    <w:p>
      <w:pPr>
        <w:pStyle w:val="StaticTOC2"/>
      </w:pPr>
      <w:hyperlink w:anchor="v5_heading_022">
        <w:r>
          <w:rPr>
            <w:rFonts w:ascii="Aptos" w:hAnsi="Aptos" w:eastAsia="Microsoft YaHei"/>
            <w:color w:val="2C6D90"/>
            <w:u w:val="none"/>
          </w:rPr>
          <w:t>8.3 主导重复走廊</w:t>
        </w:r>
      </w:hyperlink>
    </w:p>
    <w:p>
      <w:pPr>
        <w:pStyle w:val="StaticTOC2"/>
      </w:pPr>
      <w:hyperlink w:anchor="v5_heading_023">
        <w:r>
          <w:rPr>
            <w:rFonts w:ascii="Aptos" w:hAnsi="Aptos" w:eastAsia="Microsoft YaHei"/>
            <w:color w:val="2C6D90"/>
            <w:u w:val="none"/>
          </w:rPr>
          <w:t>8.4 终检位置</w:t>
        </w:r>
      </w:hyperlink>
    </w:p>
    <w:p>
      <w:pPr>
        <w:pStyle w:val="StaticTOC1"/>
      </w:pPr>
      <w:hyperlink w:anchor="v5_heading_024">
        <w:r>
          <w:rPr>
            <w:rFonts w:ascii="Aptos" w:hAnsi="Aptos" w:eastAsia="Microsoft YaHei"/>
            <w:color w:val="153B5C"/>
            <w:u w:val="none"/>
          </w:rPr>
          <w:t>9. 工程 QA、可追溯性与发布门</w:t>
        </w:r>
      </w:hyperlink>
    </w:p>
    <w:p>
      <w:pPr>
        <w:pStyle w:val="StaticTOC1"/>
      </w:pPr>
      <w:hyperlink w:anchor="v5_heading_025">
        <w:r>
          <w:rPr>
            <w:rFonts w:ascii="Aptos" w:hAnsi="Aptos" w:eastAsia="Microsoft YaHei"/>
            <w:color w:val="153B5C"/>
            <w:u w:val="none"/>
          </w:rPr>
          <w:t>10. NC-1 V14 稳定版验收</w:t>
        </w:r>
      </w:hyperlink>
    </w:p>
    <w:p>
      <w:pPr>
        <w:pStyle w:val="StaticTOC1"/>
      </w:pPr>
      <w:hyperlink w:anchor="v5_heading_026">
        <w:r>
          <w:rPr>
            <w:rFonts w:ascii="Aptos" w:hAnsi="Aptos" w:eastAsia="Microsoft YaHei"/>
            <w:color w:val="153B5C"/>
            <w:u w:val="none"/>
          </w:rPr>
          <w:t>11. 失败模式与系统响应</w:t>
        </w:r>
      </w:hyperlink>
    </w:p>
    <w:p>
      <w:pPr>
        <w:pStyle w:val="StaticTOC1"/>
      </w:pPr>
      <w:hyperlink w:anchor="v5_heading_027">
        <w:r>
          <w:rPr>
            <w:rFonts w:ascii="Aptos" w:hAnsi="Aptos" w:eastAsia="Microsoft YaHei"/>
            <w:color w:val="153B5C"/>
            <w:u w:val="none"/>
          </w:rPr>
          <w:t>12. 科学限制与建议</w:t>
        </w:r>
      </w:hyperlink>
    </w:p>
    <w:p>
      <w:pPr>
        <w:pStyle w:val="StaticTOC1"/>
      </w:pPr>
      <w:hyperlink w:anchor="v5_heading_028">
        <w:r>
          <w:rPr>
            <w:rFonts w:ascii="Aptos" w:hAnsi="Aptos" w:eastAsia="Microsoft YaHei"/>
            <w:color w:val="153B5C"/>
            <w:u w:val="none"/>
          </w:rPr>
          <w:t>13. 稳定版配置与扩展接口</w:t>
        </w:r>
      </w:hyperlink>
    </w:p>
    <w:p>
      <w:pPr>
        <w:pStyle w:val="StaticTOC1"/>
      </w:pPr>
      <w:hyperlink w:anchor="v5_heading_029">
        <w:r>
          <w:rPr>
            <w:rFonts w:ascii="Aptos" w:hAnsi="Aptos" w:eastAsia="Microsoft YaHei"/>
            <w:color w:val="153B5C"/>
            <w:u w:val="none"/>
          </w:rPr>
          <w:t>14. 稳定版验收结论</w:t>
        </w:r>
      </w:hyperlink>
    </w:p>
    <w:p>
      <w:r>
        <w:br w:type="page"/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 w:eastAsia="Microsoft YaHei"/>
        </w:rPr>
        <w:t>文档版本：1.0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 w:eastAsia="Microsoft YaHei"/>
        </w:rPr>
        <w:t>软件版本：V5.3.0 Stable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 w:eastAsia="Microsoft YaHei"/>
        </w:rPr>
        <w:t>发布基线：NC-1 V14 Dominant Corridor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 w:eastAsia="Microsoft YaHei"/>
        </w:rPr>
        <w:t>日期：2026-07-21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 w:eastAsia="Microsoft YaHei"/>
        </w:rPr>
        <w:t>适用范围：钻孔岩心 SWIR 高光谱影像的蚀变矿物证据识别、三档填图与工程质量审计</w:t>
      </w:r>
    </w:p>
    <w:p>
      <w:pPr>
        <w:pStyle w:val="DocumentNote"/>
        <w:shd w:fill="EEF5FA"/>
      </w:pPr>
      <w:r>
        <w:rPr>
          <w:rFonts w:ascii="Aptos" w:hAnsi="Aptos" w:eastAsia="Microsoft YaHei"/>
        </w:rPr>
        <w:t xml:space="preserve">本系统输出的是“符合传感器可观测性、标准谱、诊断吸收和空间地质约束的矿物证据图”。质量等级和 </w:t>
      </w:r>
      <w:r>
        <w:rPr>
          <w:rFonts w:ascii="Cascadia Mono" w:hAnsi="Cascadia Mono" w:eastAsia="Microsoft YaHei"/>
          <w:color w:val="8A3E16"/>
          <w:sz w:val="18"/>
        </w:rPr>
        <w:t>publishable</w:t>
      </w:r>
      <w:r>
        <w:rPr>
          <w:rFonts w:ascii="Aptos" w:hAnsi="Aptos" w:eastAsia="Microsoft YaHei"/>
        </w:rPr>
        <w:t xml:space="preserve"> 表示工程链路与伪影控制是否通过，不等同于 XRD、拉曼、薄片或点光谱验证后的矿物学准确率。</w:t>
      </w:r>
    </w:p>
    <w:p>
      <w:pPr>
        <w:pStyle w:val="Heading1"/>
      </w:pPr>
      <w:bookmarkStart w:id="1" w:name="v5_heading_001"/>
      <w:r>
        <w:rPr>
          <w:rFonts w:ascii="Aptos" w:hAnsi="Aptos" w:eastAsia="Microsoft YaHei"/>
        </w:rPr>
        <w:t>1. 稳定版定位与设计原则</w:t>
      </w:r>
      <w:bookmarkEnd w:id="1"/>
    </w:p>
    <w:p>
      <w:r>
        <w:rPr>
          <w:rFonts w:ascii="Aptos" w:hAnsi="Aptos" w:eastAsia="Microsoft YaHei"/>
        </w:rPr>
        <w:t>CoreSpec Mapper V5.3.0 Stable 面向长条幅、固定探测器列明显、岩心盒分段分布的高光谱岩心影像。系统不以“让每种矿物都出现”为目标，而以可复核的证据链为目标：任何像元都必须经过传感器能力、参考谱、候选发现、矿物细分、诊断特征、相似矿物竞争和空间伪影控制，才可进入最终成果。</w:t>
      </w:r>
    </w:p>
    <w:p>
      <w:pPr>
        <w:keepNext/>
      </w:pPr>
      <w:r>
        <w:rPr>
          <w:rFonts w:ascii="Aptos" w:hAnsi="Aptos" w:eastAsia="Microsoft YaHei"/>
        </w:rPr>
        <w:t>稳定版采用以下原则：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 w:eastAsia="Microsoft YaHei"/>
        </w:rPr>
        <w:t xml:space="preserve">输入和历史成果只读，运行创建独立 </w:t>
      </w:r>
      <w:r>
        <w:rPr>
          <w:rFonts w:ascii="Cascadia Mono" w:hAnsi="Cascadia Mono" w:eastAsia="Microsoft YaHei"/>
          <w:color w:val="8A3E16"/>
          <w:sz w:val="18"/>
        </w:rPr>
        <w:t>run_id</w:t>
      </w:r>
      <w:r>
        <w:rPr>
          <w:rFonts w:ascii="Aptos" w:hAnsi="Aptos" w:eastAsia="Microsoft YaHei"/>
        </w:rPr>
        <w:t>，不覆盖原始数据和既有结果。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 w:eastAsia="Microsoft YaHei"/>
        </w:rPr>
        <w:t>大类 SAM 负责高召回候选发现，不能独自决定矿物类别。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 w:eastAsia="Microsoft YaHei"/>
        </w:rPr>
        <w:t>矿物级 SFF、诊断吸收特征和竞争模型负责严格细分。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 w:eastAsia="Microsoft YaHei"/>
        </w:rPr>
        <w:t>三档结果共享同一连续证据排序，并保持严格档 ⊆ 平衡档 ⊆ 敏感档。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 w:eastAsia="Microsoft YaHei"/>
        </w:rPr>
        <w:t>条带抑制针对“同一探测器列在多个分离岩心段重复”的成因，而不是简单删除所有纵向结构。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 w:eastAsia="Microsoft YaHei"/>
        </w:rPr>
        <w:t>没有可通过的矿物特征时明确阻断或预警，不通过无依据放宽阈值制造阳性像元。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 w:eastAsia="Microsoft YaHei"/>
        </w:rPr>
        <w:t>每次运行保存输入指纹、资源哈希、标准谱、阈值、拒绝原因、质量审计和完整输出清单。</w:t>
      </w:r>
    </w:p>
    <w:p>
      <w:pPr>
        <w:pStyle w:val="Heading1"/>
      </w:pPr>
      <w:bookmarkStart w:id="2" w:name="v5_heading_002"/>
      <w:r>
        <w:rPr>
          <w:rFonts w:ascii="Aptos" w:hAnsi="Aptos" w:eastAsia="Microsoft YaHei"/>
        </w:rPr>
        <w:t>2. 输入、输出与能力边界</w:t>
      </w:r>
      <w:bookmarkEnd w:id="2"/>
    </w:p>
    <w:p>
      <w:pPr>
        <w:pStyle w:val="Heading2"/>
      </w:pPr>
      <w:bookmarkStart w:id="3" w:name="v5_heading_003"/>
      <w:r>
        <w:rPr>
          <w:rFonts w:ascii="Aptos" w:hAnsi="Aptos" w:eastAsia="Microsoft YaHei"/>
        </w:rPr>
        <w:t>2.1 主分析输入</w:t>
      </w:r>
      <w:bookmarkEnd w:id="3"/>
    </w:p>
    <w:p>
      <w:pPr>
        <w:keepNext/>
      </w:pPr>
      <w:r>
        <w:rPr>
          <w:rFonts w:ascii="Aptos" w:hAnsi="Aptos" w:eastAsia="Microsoft YaHei"/>
        </w:rPr>
        <w:t>像元级识别始终在一个主分析 ENVI 立方体上执行。主输入至少应提供：</w:t>
      </w:r>
    </w:p>
    <w:p>
      <w:pPr>
        <w:pStyle w:val="ListBullet"/>
        <w:spacing w:after="80" w:line="300" w:lineRule="auto"/>
        <w:ind w:left="540" w:hanging="271"/>
      </w:pPr>
      <w:r>
        <w:rPr>
          <w:rFonts w:ascii="Cascadia Mono" w:hAnsi="Cascadia Mono" w:eastAsia="Microsoft YaHei"/>
          <w:color w:val="8A3E16"/>
          <w:sz w:val="18"/>
        </w:rPr>
        <w:t>.dat</w:t>
      </w:r>
      <w:r>
        <w:rPr>
          <w:rFonts w:ascii="Aptos" w:hAnsi="Aptos" w:eastAsia="Microsoft YaHei"/>
        </w:rPr>
        <w:t>/</w:t>
      </w:r>
      <w:r>
        <w:rPr>
          <w:rFonts w:ascii="Cascadia Mono" w:hAnsi="Cascadia Mono" w:eastAsia="Microsoft YaHei"/>
          <w:color w:val="8A3E16"/>
          <w:sz w:val="18"/>
        </w:rPr>
        <w:t>.img</w:t>
      </w:r>
      <w:r>
        <w:rPr>
          <w:rFonts w:ascii="Aptos" w:hAnsi="Aptos" w:eastAsia="Microsoft YaHei"/>
        </w:rPr>
        <w:t xml:space="preserve"> 与配套 </w:t>
      </w:r>
      <w:r>
        <w:rPr>
          <w:rFonts w:ascii="Cascadia Mono" w:hAnsi="Cascadia Mono" w:eastAsia="Microsoft YaHei"/>
          <w:color w:val="8A3E16"/>
          <w:sz w:val="18"/>
        </w:rPr>
        <w:t>.hdr</w:t>
      </w:r>
      <w:r>
        <w:rPr>
          <w:rFonts w:ascii="Aptos" w:hAnsi="Aptos" w:eastAsia="Microsoft YaHei"/>
        </w:rPr>
        <w:t>；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 w:eastAsia="Microsoft YaHei"/>
        </w:rPr>
        <w:t>行数、列数、波段数和数据类型；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 w:eastAsia="Microsoft YaHei"/>
        </w:rPr>
        <w:t>单调波长轴及其单位；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 w:eastAsia="Microsoft YaHei"/>
        </w:rPr>
        <w:t>反射率、发射率或辐亮度物理类型；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 w:eastAsia="Microsoft YaHei"/>
        </w:rPr>
        <w:t>可选 FWHM、坏波段和空间参考信息。</w:t>
      </w:r>
    </w:p>
    <w:p>
      <w:r>
        <w:rPr>
          <w:rFonts w:ascii="Aptos" w:hAnsi="Aptos" w:eastAsia="Microsoft YaHei"/>
        </w:rPr>
        <w:t>RGB、NIR/VNIR、SWIR 伴随文件可用于来源和能力审计。若它们没有完成同网格配准，系统不会静默逐像元融合；联合分析应先生成已配准的连续主立方体。</w:t>
      </w:r>
    </w:p>
    <w:p>
      <w:pPr>
        <w:pStyle w:val="Heading2"/>
      </w:pPr>
      <w:bookmarkStart w:id="4" w:name="v5_heading_004"/>
      <w:r>
        <w:rPr>
          <w:rFonts w:ascii="Aptos" w:hAnsi="Aptos" w:eastAsia="Microsoft YaHei"/>
        </w:rPr>
        <w:t>2.2 当前生产能力</w:t>
      </w:r>
      <w:bookmarkEnd w:id="4"/>
    </w:p>
    <w:p>
      <w:r>
        <w:rPr>
          <w:rFonts w:ascii="Aptos" w:hAnsi="Aptos" w:eastAsia="Microsoft YaHei"/>
        </w:rPr>
        <w:t>V5.3 的生产专家为 SWIR 反射率专家。桌面默认选择七个已验证目标：方解石、白云石、无水石膏、石膏、伊利石、蒙脱石和高岭石。Catalog 另含实验级目标，但“可运行”只表示证据链完整，不代表已经取得项目级矿物学验证。</w:t>
      </w:r>
    </w:p>
    <w:p>
      <w:r>
        <w:rPr>
          <w:rFonts w:ascii="Aptos" w:hAnsi="Aptos" w:eastAsia="Microsoft YaHei"/>
        </w:rPr>
        <w:t>赤铁矿/针铁矿当前仅保留 Fe 氧化物族资源，矿物级分相需要更合适的 VNIR 数据。石英需要 TIR 发射率数据与兼容参考库，当前在 SWIR 项目中禁用。</w:t>
      </w:r>
    </w:p>
    <w:p>
      <w:pPr>
        <w:pStyle w:val="Heading2"/>
      </w:pPr>
      <w:bookmarkStart w:id="5" w:name="v5_heading_005"/>
      <w:r>
        <w:rPr>
          <w:rFonts w:ascii="Aptos" w:hAnsi="Aptos" w:eastAsia="Microsoft YaHei"/>
        </w:rPr>
        <w:t>2.3 主要输出</w:t>
      </w:r>
      <w:bookmarkEnd w:id="5"/>
    </w:p>
    <w:p>
      <w:pPr>
        <w:keepNext/>
      </w:pPr>
      <w:r>
        <w:rPr>
          <w:rFonts w:ascii="Aptos" w:hAnsi="Aptos" w:eastAsia="Microsoft YaHei"/>
        </w:rPr>
        <w:t>每次运行至少生成：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CellMar>
          <w:top w:type="dxa" w:w="80"/>
          <w:bottom w:type="dxa" w:w="80"/>
          <w:start w:type="dxa" w:w="120"/>
          <w:end w:type="dxa" w:w="120"/>
        </w:tblCellMar>
      </w:tblPr>
      <w:tblGrid>
        <w:gridCol w:w="2201"/>
        <w:gridCol w:w="7159"/>
      </w:tblGrid>
      <w:tr>
        <w:trPr>
          <w:cantSplit/>
          <w:tblHeader w:val="true"/>
        </w:trPr>
        <w:tc>
          <w:tcPr>
            <w:tcW w:type="dxa" w:w="2201"/>
            <w:vAlign w:val="center"/>
            <w:shd w:fill="DCEAF5"/>
          </w:tcPr>
          <w:p>
            <w:pPr>
              <w:keepNext/>
              <w:spacing w:after="0" w:line="240" w:lineRule="auto"/>
            </w:pPr>
            <w:r>
              <w:rPr>
                <w:rFonts w:ascii="Aptos" w:hAnsi="Aptos" w:eastAsia="Microsoft YaHei"/>
                <w:b/>
                <w:sz w:val="17"/>
              </w:rPr>
              <w:t>输出域</w:t>
            </w:r>
          </w:p>
        </w:tc>
        <w:tc>
          <w:tcPr>
            <w:tcW w:type="dxa" w:w="7159"/>
            <w:vAlign w:val="center"/>
            <w:shd w:fill="DCEAF5"/>
          </w:tcPr>
          <w:p>
            <w:pPr>
              <w:keepNext/>
              <w:spacing w:after="0" w:line="240" w:lineRule="auto"/>
            </w:pPr>
            <w:r>
              <w:rPr>
                <w:rFonts w:ascii="Aptos" w:hAnsi="Aptos" w:eastAsia="Microsoft YaHei"/>
                <w:b/>
                <w:sz w:val="17"/>
              </w:rPr>
              <w:t>内容</w:t>
            </w:r>
          </w:p>
        </w:tc>
      </w:tr>
      <w:tr>
        <w:trPr>
          <w:cantSplit/>
        </w:trPr>
        <w:tc>
          <w:tcPr>
            <w:tcW w:type="dxa" w:w="220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7"/>
              </w:rPr>
              <w:t>配置与审计</w:t>
            </w:r>
          </w:p>
        </w:tc>
        <w:tc>
          <w:tcPr>
            <w:tcW w:type="dxa" w:w="7159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7"/>
              </w:rPr>
              <w:t>解析配置、输入指纹、能力卡、掩膜审计、风险清单</w:t>
            </w:r>
          </w:p>
        </w:tc>
      </w:tr>
      <w:tr>
        <w:trPr>
          <w:cantSplit/>
        </w:trPr>
        <w:tc>
          <w:tcPr>
            <w:tcW w:type="dxa" w:w="2201"/>
            <w:vAlign w:val="center"/>
            <w:shd w:fill="F5F8FA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7"/>
              </w:rPr>
              <w:t>标准谱</w:t>
            </w:r>
          </w:p>
        </w:tc>
        <w:tc>
          <w:tcPr>
            <w:tcW w:type="dxa" w:w="7159"/>
            <w:vAlign w:val="center"/>
            <w:shd w:fill="F5F8FA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7"/>
              </w:rPr>
              <w:t>实际入选谱、来源、选择/拒绝原因、传感器适配曲线</w:t>
            </w:r>
          </w:p>
        </w:tc>
      </w:tr>
      <w:tr>
        <w:trPr>
          <w:cantSplit/>
        </w:trPr>
        <w:tc>
          <w:tcPr>
            <w:tcW w:type="dxa" w:w="220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7"/>
              </w:rPr>
              <w:t>组级成果</w:t>
            </w:r>
          </w:p>
        </w:tc>
        <w:tc>
          <w:tcPr>
            <w:tcW w:type="dxa" w:w="7159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7"/>
              </w:rPr>
              <w:t>SAM、候选域、SFF、诊断特征、置信度、稳定性和拒绝原因</w:t>
            </w:r>
          </w:p>
        </w:tc>
      </w:tr>
      <w:tr>
        <w:trPr>
          <w:cantSplit/>
        </w:trPr>
        <w:tc>
          <w:tcPr>
            <w:tcW w:type="dxa" w:w="2201"/>
            <w:vAlign w:val="center"/>
            <w:shd w:fill="F5F8FA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7"/>
              </w:rPr>
              <w:t>三档分类</w:t>
            </w:r>
          </w:p>
        </w:tc>
        <w:tc>
          <w:tcPr>
            <w:tcW w:type="dxa" w:w="7159"/>
            <w:vAlign w:val="center"/>
            <w:shd w:fill="F5F8FA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7"/>
              </w:rPr>
              <w:t>严格、平衡、敏感 ENVI 分类及嵌套检查</w:t>
            </w:r>
          </w:p>
        </w:tc>
      </w:tr>
      <w:tr>
        <w:trPr>
          <w:cantSplit/>
        </w:trPr>
        <w:tc>
          <w:tcPr>
            <w:tcW w:type="dxa" w:w="220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7"/>
              </w:rPr>
              <w:t>伪影控制</w:t>
            </w:r>
          </w:p>
        </w:tc>
        <w:tc>
          <w:tcPr>
            <w:tcW w:type="dxa" w:w="7159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7"/>
              </w:rPr>
              <w:t>固定列、重复窄列、主导走廊、边缘和小连通域审计</w:t>
            </w:r>
          </w:p>
        </w:tc>
      </w:tr>
      <w:tr>
        <w:trPr>
          <w:cantSplit/>
        </w:trPr>
        <w:tc>
          <w:tcPr>
            <w:tcW w:type="dxa" w:w="2201"/>
            <w:vAlign w:val="center"/>
            <w:shd w:fill="F5F8FA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7"/>
              </w:rPr>
              <w:t>预览与报告</w:t>
            </w:r>
          </w:p>
        </w:tc>
        <w:tc>
          <w:tcPr>
            <w:tcW w:type="dxa" w:w="7159"/>
            <w:vAlign w:val="center"/>
            <w:shd w:fill="F5F8FA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7"/>
              </w:rPr>
              <w:t>中文 PNG 预览、CSV、JSON、Markdown、HTML 和 Manifest</w:t>
            </w:r>
          </w:p>
        </w:tc>
      </w:tr>
    </w:tbl>
    <w:p>
      <w:pPr>
        <w:spacing w:after="20"/>
      </w:pPr>
    </w:p>
    <w:p>
      <w:pPr>
        <w:pStyle w:val="Heading1"/>
      </w:pPr>
      <w:bookmarkStart w:id="6" w:name="v5_heading_006"/>
      <w:r>
        <w:rPr>
          <w:rFonts w:ascii="Aptos" w:hAnsi="Aptos" w:eastAsia="Microsoft YaHei"/>
        </w:rPr>
        <w:t>3. 私有标准谱数据库与质量控制</w:t>
      </w:r>
      <w:bookmarkEnd w:id="6"/>
    </w:p>
    <w:p>
      <w:pPr>
        <w:keepNext/>
      </w:pPr>
      <w:r>
        <w:rPr>
          <w:rFonts w:ascii="Aptos" w:hAnsi="Aptos" w:eastAsia="Microsoft YaHei"/>
        </w:rPr>
        <w:t>内置 SQLite 光谱数据库是只读发布资源。数据库保存源文件、测量曲线、物理样品、矿物标签、测量几何、数据物理、波长轴、数值质量和来源许可状态。运行时不直接按文件名模糊匹配，而是经过以下控制：</w:t>
      </w:r>
    </w:p>
    <w:p>
      <w:pPr>
        <w:pStyle w:val="ListNumber"/>
        <w:spacing w:after="80" w:line="300" w:lineRule="auto"/>
        <w:ind w:left="540" w:hanging="271"/>
        <w:numPr>
          <w:ilvl w:val="0"/>
          <w:numId w:val="10"/>
        </w:numPr>
      </w:pPr>
      <w:r>
        <w:rPr>
          <w:rFonts w:ascii="Aptos" w:hAnsi="Aptos" w:eastAsia="Microsoft YaHei"/>
        </w:rPr>
        <w:t>只允许 Catalog 声明的目标或内部混淆相进入候选。</w:t>
      </w:r>
    </w:p>
    <w:p>
      <w:pPr>
        <w:pStyle w:val="ListNumber"/>
        <w:spacing w:after="80" w:line="300" w:lineRule="auto"/>
        <w:ind w:left="540" w:hanging="271"/>
        <w:numPr>
          <w:ilvl w:val="0"/>
          <w:numId w:val="10"/>
        </w:numPr>
      </w:pPr>
      <w:r>
        <w:rPr>
          <w:rFonts w:ascii="Aptos" w:hAnsi="Aptos" w:eastAsia="Microsoft YaHei"/>
        </w:rPr>
        <w:t>优先使用声明纯相且数值 QC 通过的测量。</w:t>
      </w:r>
    </w:p>
    <w:p>
      <w:pPr>
        <w:pStyle w:val="ListNumber"/>
        <w:spacing w:after="80" w:line="300" w:lineRule="auto"/>
        <w:ind w:left="540" w:hanging="271"/>
        <w:numPr>
          <w:ilvl w:val="0"/>
          <w:numId w:val="10"/>
        </w:numPr>
      </w:pPr>
      <w:r>
        <w:rPr>
          <w:rFonts w:ascii="Aptos" w:hAnsi="Aptos" w:eastAsia="Microsoft YaHei"/>
        </w:rPr>
        <w:t>同一物理样品的重复测量先去重，防止一个样品获得不合理先验权重。</w:t>
      </w:r>
    </w:p>
    <w:p>
      <w:pPr>
        <w:pStyle w:val="ListNumber"/>
        <w:spacing w:after="80" w:line="300" w:lineRule="auto"/>
        <w:ind w:left="540" w:hanging="271"/>
        <w:numPr>
          <w:ilvl w:val="0"/>
          <w:numId w:val="10"/>
        </w:numPr>
      </w:pPr>
      <w:r>
        <w:rPr>
          <w:rFonts w:ascii="Aptos" w:hAnsi="Aptos" w:eastAsia="Microsoft YaHei"/>
        </w:rPr>
        <w:t>样品标签冲突、数据物理不符、必要波段缺失或曲线异常时拒绝。</w:t>
      </w:r>
    </w:p>
    <w:p>
      <w:pPr>
        <w:pStyle w:val="ListNumber"/>
        <w:spacing w:after="80" w:line="300" w:lineRule="auto"/>
        <w:ind w:left="540" w:hanging="271"/>
        <w:numPr>
          <w:ilvl w:val="0"/>
          <w:numId w:val="10"/>
        </w:numPr>
      </w:pPr>
      <w:r>
        <w:rPr>
          <w:rFonts w:ascii="Aptos" w:hAnsi="Aptos" w:eastAsia="Microsoft YaHei"/>
        </w:rPr>
        <w:t>在同一矿物内先选择 robust medoid，再按谱形、来源和测量几何贪心增加多样性。</w:t>
      </w:r>
    </w:p>
    <w:p>
      <w:pPr>
        <w:pStyle w:val="ListNumber"/>
        <w:spacing w:after="80" w:line="300" w:lineRule="auto"/>
        <w:ind w:left="540" w:hanging="271"/>
        <w:numPr>
          <w:ilvl w:val="0"/>
          <w:numId w:val="10"/>
        </w:numPr>
      </w:pPr>
      <w:r>
        <w:rPr>
          <w:rFonts w:ascii="Aptos" w:hAnsi="Aptos" w:eastAsia="Microsoft YaHei"/>
        </w:rPr>
        <w:t>每个矿物的代表谱数量受上限控制，避免参考谱数量直接决定类别胜负。</w:t>
      </w:r>
    </w:p>
    <w:p>
      <w:r>
        <w:rPr>
          <w:rFonts w:ascii="Aptos" w:hAnsi="Aptos" w:eastAsia="Microsoft YaHei"/>
        </w:rPr>
        <w:t>桌面“标准谱”页显示每一条实际入选曲线，不显示合并后的假想谱。多条近似曲线会用不同颜色、线型和点击高亮区分；曲线局部重合是谱形接近的真实表现。</w:t>
      </w:r>
    </w:p>
    <w:p>
      <w:pPr>
        <w:pStyle w:val="Heading1"/>
      </w:pPr>
      <w:bookmarkStart w:id="7" w:name="v5_heading_007"/>
      <w:r>
        <w:rPr>
          <w:rFonts w:ascii="Aptos" w:hAnsi="Aptos" w:eastAsia="Microsoft YaHei"/>
        </w:rPr>
        <w:t>4. 传感器适配与预处理</w:t>
      </w:r>
      <w:bookmarkEnd w:id="7"/>
    </w:p>
    <w:p>
      <w:pPr>
        <w:pStyle w:val="Heading2"/>
      </w:pPr>
      <w:bookmarkStart w:id="8" w:name="v5_heading_008"/>
      <w:r>
        <w:rPr>
          <w:rFonts w:ascii="Aptos" w:hAnsi="Aptos" w:eastAsia="Microsoft YaHei"/>
        </w:rPr>
        <w:t>4.1 波长与 FWHM 适配</w:t>
      </w:r>
      <w:bookmarkEnd w:id="8"/>
    </w:p>
    <w:p>
      <w:r>
        <w:rPr>
          <w:rFonts w:ascii="Aptos" w:hAnsi="Aptos" w:eastAsia="Microsoft YaHei"/>
        </w:rPr>
        <w:t xml:space="preserve">系统先审计目标矿物的必要波段窗是否被当前传感器覆盖。若传感器提供 FWHM，则对高分辨率参考谱进行波段响应卷积；若缺少 FWHM，只允许受约束插值，并在质量报告中保留 </w:t>
      </w:r>
      <w:r>
        <w:rPr>
          <w:rFonts w:ascii="Cascadia Mono" w:hAnsi="Cascadia Mono" w:eastAsia="Microsoft YaHei"/>
          <w:color w:val="8A3E16"/>
          <w:sz w:val="18"/>
        </w:rPr>
        <w:t>missing_fwhm</w:t>
      </w:r>
      <w:r>
        <w:rPr>
          <w:rFonts w:ascii="Aptos" w:hAnsi="Aptos" w:eastAsia="Microsoft YaHei"/>
        </w:rPr>
        <w:t xml:space="preserve"> 警告。</w:t>
      </w:r>
    </w:p>
    <w:p>
      <w:r>
        <w:rPr>
          <w:rFonts w:ascii="Aptos" w:hAnsi="Aptos" w:eastAsia="Microsoft YaHei"/>
        </w:rPr>
        <w:t>参考谱重采样不会外推到参考曲线或传感器范围之外，也不会用不可观测特征参与矿物评分。</w:t>
      </w:r>
    </w:p>
    <w:p>
      <w:pPr>
        <w:pStyle w:val="Heading2"/>
      </w:pPr>
      <w:bookmarkStart w:id="9" w:name="v5_heading_009"/>
      <w:r>
        <w:rPr>
          <w:rFonts w:ascii="Aptos" w:hAnsi="Aptos" w:eastAsia="Microsoft YaHei"/>
        </w:rPr>
        <w:t>4.2 SG 平滑与数据物理</w:t>
      </w:r>
      <w:bookmarkEnd w:id="9"/>
    </w:p>
    <w:p>
      <w:r>
        <w:rPr>
          <w:rFonts w:ascii="Aptos" w:hAnsi="Aptos" w:eastAsia="Microsoft YaHei"/>
        </w:rPr>
        <w:t>反射率数据默认执行 Savitzky-Golay 平滑。若用户确认输入已经完成兼容的 SG 平滑，可在数据页勾选“输入已经完成光谱 SG 平滑”，系统会记录并跳过重复平滑。SG 窗口必须为奇数，阶数必须小于窗口长度。</w:t>
      </w:r>
    </w:p>
    <w:p>
      <w:r>
        <w:rPr>
          <w:rFonts w:ascii="Aptos" w:hAnsi="Aptos" w:eastAsia="Microsoft YaHei"/>
        </w:rPr>
        <w:t>辐亮度不会被当成反射率直接进入生产专家；数据物理不兼容时能力审计会阻断相关矿物。</w:t>
      </w:r>
    </w:p>
    <w:p>
      <w:pPr>
        <w:pStyle w:val="Heading2"/>
      </w:pPr>
      <w:bookmarkStart w:id="10" w:name="v5_heading_010"/>
      <w:r>
        <w:rPr>
          <w:rFonts w:ascii="Aptos" w:hAnsi="Aptos" w:eastAsia="Microsoft YaHei"/>
        </w:rPr>
        <w:t>4.3 连续统去除与特征域</w:t>
      </w:r>
      <w:bookmarkEnd w:id="10"/>
    </w:p>
    <w:p>
      <w:r>
        <w:rPr>
          <w:rFonts w:ascii="Aptos" w:hAnsi="Aptos" w:eastAsia="Microsoft YaHei"/>
        </w:rPr>
        <w:t>V5.3 使用向量化分段线性连续统构建吸收特征域。组级候选发现可使用经过列偏差校正的检测域；矿物 SFF、吸收中心、深度、宽度、左右肩和竞争特征使用原始 SG 光谱域，避免列校正改变矿物诊断峰形。</w:t>
      </w:r>
    </w:p>
    <w:p>
      <w:pPr>
        <w:pStyle w:val="Heading1"/>
      </w:pPr>
      <w:bookmarkStart w:id="11" w:name="v5_heading_011"/>
      <w:r>
        <w:rPr>
          <w:rFonts w:ascii="Aptos" w:hAnsi="Aptos" w:eastAsia="Microsoft YaHei"/>
        </w:rPr>
        <w:t>5. 岩心前景掩膜</w:t>
      </w:r>
      <w:bookmarkEnd w:id="11"/>
    </w:p>
    <w:p>
      <w:r>
        <w:rPr>
          <w:rFonts w:ascii="Aptos" w:hAnsi="Aptos" w:eastAsia="Microsoft YaHei"/>
        </w:rPr>
        <w:t>自动模式使用应用内置 CoreMaskUNet v2 前景模型，从 RGB 影像分离岩心、托盘和无效背景。模型结构、manifest 和权重随应用发布，不依赖开发机路径。自动模式缺少 RGB 或模型资产时明确阻断。</w:t>
      </w:r>
    </w:p>
    <w:p>
      <w:pPr>
        <w:keepNext/>
      </w:pPr>
      <w:r>
        <w:rPr>
          <w:rFonts w:ascii="Aptos" w:hAnsi="Aptos" w:eastAsia="Microsoft YaHei"/>
        </w:rPr>
        <w:t>外部模式接受与主立方体同网格的 ENVI 二值/非零掩膜。无论自动或外部来源，均检查：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 w:eastAsia="Microsoft YaHei"/>
        </w:rPr>
        <w:t>覆盖率是否过小或接近全幅；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 w:eastAsia="Microsoft YaHei"/>
        </w:rPr>
        <w:t>连通域数量、最大连通域和内部填充率；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 w:eastAsia="Microsoft YaHei"/>
        </w:rPr>
        <w:t>是否表现为托盘轮廓、裂缝网络或边缘细线；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 w:eastAsia="Microsoft YaHei"/>
        </w:rPr>
        <w:t>标签、背景和托盘是否大面积泄漏；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 w:eastAsia="Microsoft YaHei"/>
        </w:rPr>
        <w:t>是否存在明显漏提的岩心实体。</w:t>
      </w:r>
    </w:p>
    <w:p>
      <w:r>
        <w:rPr>
          <w:rFonts w:ascii="Aptos" w:hAnsi="Aptos" w:eastAsia="Microsoft YaHei"/>
        </w:rPr>
        <w:t>掩膜通过算法质量门后仍需人工预览和批准。人工批准是运行门，不会被“质量通过”自动替代。</w:t>
      </w:r>
    </w:p>
    <w:p>
      <w:pPr>
        <w:pStyle w:val="Heading1"/>
      </w:pPr>
      <w:bookmarkStart w:id="12" w:name="v5_heading_012"/>
      <w:r>
        <w:rPr>
          <w:rFonts w:ascii="Aptos" w:hAnsi="Aptos" w:eastAsia="Microsoft YaHei"/>
        </w:rPr>
        <w:t>6. 三段式矿物识别主流程</w:t>
      </w:r>
      <w:bookmarkEnd w:id="12"/>
    </w:p>
    <w:p>
      <w:pPr>
        <w:pStyle w:val="Heading2"/>
      </w:pPr>
      <w:bookmarkStart w:id="13" w:name="v5_heading_013"/>
      <w:r>
        <w:rPr>
          <w:rFonts w:ascii="Aptos" w:hAnsi="Aptos" w:eastAsia="Microsoft YaHei"/>
        </w:rPr>
        <w:t>6.1 第一段：宽松的大类 SAM 候选发现</w:t>
      </w:r>
      <w:bookmarkEnd w:id="13"/>
    </w:p>
    <w:p>
      <w:r>
        <w:rPr>
          <w:rFonts w:ascii="Aptos" w:hAnsi="Aptos" w:eastAsia="Microsoft YaHei"/>
        </w:rPr>
        <w:t xml:space="preserve">对像元光谱向量 </w:t>
      </w:r>
      <w:r>
        <w:rPr>
          <w:rFonts w:ascii="Cascadia Mono" w:hAnsi="Cascadia Mono" w:eastAsia="Microsoft YaHei"/>
          <w:color w:val="8A3E16"/>
          <w:sz w:val="18"/>
        </w:rPr>
        <w:t>x</w:t>
      </w:r>
      <w:r>
        <w:rPr>
          <w:rFonts w:ascii="Aptos" w:hAnsi="Aptos" w:eastAsia="Microsoft YaHei"/>
        </w:rPr>
        <w:t xml:space="preserve"> 与组级参考向量 </w:t>
      </w:r>
      <w:r>
        <w:rPr>
          <w:rFonts w:ascii="Cascadia Mono" w:hAnsi="Cascadia Mono" w:eastAsia="Microsoft YaHei"/>
          <w:color w:val="8A3E16"/>
          <w:sz w:val="18"/>
        </w:rPr>
        <w:t>r</w:t>
      </w:r>
      <w:r>
        <w:rPr>
          <w:rFonts w:ascii="Aptos" w:hAnsi="Aptos" w:eastAsia="Microsoft YaHei"/>
        </w:rPr>
        <w:t>，光谱角定义为：</w:t>
      </w:r>
    </w:p>
    <w:p>
      <w:r>
        <w:rPr>
          <w:rFonts w:ascii="Cascadia Mono" w:hAnsi="Cascadia Mono" w:eastAsia="Microsoft YaHei"/>
          <w:color w:val="8A3E16"/>
          <w:sz w:val="18"/>
        </w:rPr>
        <w:t>SAM(x,r) = arccos((x·r) / (||x|| ||r||))</w:t>
      </w:r>
    </w:p>
    <w:p>
      <w:pPr>
        <w:keepNext/>
      </w:pPr>
      <w:r>
        <w:rPr>
          <w:rFonts w:ascii="Aptos" w:hAnsi="Aptos" w:eastAsia="Microsoft YaHei"/>
        </w:rPr>
        <w:t>SAM 只回答“该像元是否值得进入本矿物大类的后续判别”。V5.3 将这一段设置为高召回职责：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 w:eastAsia="Microsoft YaHei"/>
        </w:rPr>
        <w:t>在 Catalog 安全包络内搜索组级绝对角阈值和列分位；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 w:eastAsia="Microsoft YaHei"/>
        </w:rPr>
        <w:t>使用分层深度样本覆盖整条岩心，而不是只取局部 ROI；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 w:eastAsia="Microsoft YaHei"/>
        </w:rPr>
        <w:t>评价候选数量、覆盖率、空间支持和列异常占比；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 w:eastAsia="Microsoft YaHei"/>
        </w:rPr>
        <w:t>不要求在 SAM 阶段完成方解石/白云石、伊利石/蒙脱石/高岭石等相似矿物的最终分相。</w:t>
      </w:r>
    </w:p>
    <w:p>
      <w:r>
        <w:rPr>
          <w:rFonts w:ascii="Aptos" w:hAnsi="Aptos" w:eastAsia="Microsoft YaHei"/>
        </w:rPr>
        <w:t>列光谱偏差校正只服务这一候选发现阶段。其作用是降低固定探测器列对 SAM 的系统影响，不作为制造矿物吸收特征的手段。</w:t>
      </w:r>
    </w:p>
    <w:p>
      <w:pPr>
        <w:pStyle w:val="Heading2"/>
      </w:pPr>
      <w:bookmarkStart w:id="14" w:name="v5_heading_014"/>
      <w:r>
        <w:rPr>
          <w:rFonts w:ascii="Aptos" w:hAnsi="Aptos" w:eastAsia="Microsoft YaHei"/>
        </w:rPr>
        <w:t>6.2 第二段：矿物级 SFF 与诊断特征细分</w:t>
      </w:r>
      <w:bookmarkEnd w:id="14"/>
    </w:p>
    <w:p>
      <w:r>
        <w:rPr>
          <w:rFonts w:ascii="Aptos" w:hAnsi="Aptos" w:eastAsia="Microsoft YaHei"/>
        </w:rPr>
        <w:t>在候选域内，系统将连续统去除后的像元谱与每个矿物的实际入选参考谱进行 Spectral Feature Fitting。SFF 衡量目标吸收形状与参考谱的拟合程度，并保留最佳矿物、同类参考谱一致性和竞争差值。</w:t>
      </w:r>
    </w:p>
    <w:p>
      <w:pPr>
        <w:keepNext/>
      </w:pPr>
      <w:r>
        <w:rPr>
          <w:rFonts w:ascii="Aptos" w:hAnsi="Aptos" w:eastAsia="Microsoft YaHei"/>
        </w:rPr>
        <w:t>矿物专家随后检查可观测的诊断特征：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 w:eastAsia="Microsoft YaHei"/>
        </w:rPr>
        <w:t>吸收中心是否位于允许范围；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 w:eastAsia="Microsoft YaHei"/>
        </w:rPr>
        <w:t>吸收深度是否超过传感器和项目噪声下限；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 w:eastAsia="Microsoft YaHei"/>
        </w:rPr>
        <w:t>左右肩、局部宽度和双峰关系是否合理；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 w:eastAsia="Microsoft YaHei"/>
        </w:rPr>
        <w:t>可选特征缺失时只对有限特征重新归一化，不能让 NaN 污染总分；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 w:eastAsia="Microsoft YaHei"/>
        </w:rPr>
        <w:t>单矿物组不要求不存在的“第二名竞争间隔”；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 w:eastAsia="Microsoft YaHei"/>
        </w:rPr>
        <w:t>敏感档至少保留一个明确诊断特征并具有 SFF 支撑，不能只靠宽 SAM 入选。</w:t>
      </w:r>
    </w:p>
    <w:p>
      <w:pPr>
        <w:pStyle w:val="Heading2"/>
      </w:pPr>
      <w:bookmarkStart w:id="15" w:name="v5_heading_015"/>
      <w:r>
        <w:rPr>
          <w:rFonts w:ascii="Aptos" w:hAnsi="Aptos" w:eastAsia="Microsoft YaHei"/>
        </w:rPr>
        <w:t>6.3 相似矿物竞争</w:t>
      </w:r>
      <w:bookmarkEnd w:id="15"/>
    </w:p>
    <w:p>
      <w:r>
        <w:rPr>
          <w:rFonts w:ascii="Aptos" w:hAnsi="Aptos" w:eastAsia="Microsoft YaHei"/>
        </w:rPr>
        <w:t>碳酸盐、钙硫酸盐、白云母—伊利石、蒙脱石族和高岭石族分别在共享证据域内竞争。伊利石、蒙脱石和高岭石在组内独立发现后还进入跨组粘土竞争，同一像元只保留一个粘土矿物赢家。</w:t>
      </w:r>
    </w:p>
    <w:p>
      <w:pPr>
        <w:keepNext/>
      </w:pPr>
      <w:r>
        <w:rPr>
          <w:rFonts w:ascii="Aptos" w:hAnsi="Aptos" w:eastAsia="Microsoft YaHei"/>
        </w:rPr>
        <w:t>若项目提供同网格、人工复核的高可信历史分类，V5.3 可训练项目级稳健对角 QDA 证据门。训练不复制历史像元到结果，而只学习紧凑参数：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 w:eastAsia="Microsoft YaHei"/>
        </w:rPr>
        <w:t>组级 SAM 阈值；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 w:eastAsia="Microsoft YaHei"/>
        </w:rPr>
        <w:t>矿物分数偏置；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 w:eastAsia="Microsoft YaHei"/>
        </w:rPr>
        <w:t>可观测的物理特征范围；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 w:eastAsia="Microsoft YaHei"/>
        </w:rPr>
        <w:t>参考谱一致性、稳定性、置信度和紧凑证据门。</w:t>
      </w:r>
    </w:p>
    <w:p>
      <w:r>
        <w:rPr>
          <w:rFonts w:ascii="Aptos" w:hAnsi="Aptos" w:eastAsia="Microsoft YaHei"/>
        </w:rPr>
        <w:t>深度方向按连续块交错划分训练集与留出集，减少同一局部结构同时出现在训练和验证中的泄漏。少数类在 QDA 留出召回过低时，只能启用有面积上限和物理特征约束的单轴兜底。</w:t>
      </w:r>
    </w:p>
    <w:p>
      <w:pPr>
        <w:pStyle w:val="Heading1"/>
      </w:pPr>
      <w:bookmarkStart w:id="16" w:name="v5_heading_016"/>
      <w:r>
        <w:rPr>
          <w:rFonts w:ascii="Aptos" w:hAnsi="Aptos" w:eastAsia="Microsoft YaHei"/>
        </w:rPr>
        <w:t>7. 阈值联合试算与三档职责</w:t>
      </w:r>
      <w:bookmarkEnd w:id="16"/>
    </w:p>
    <w:p>
      <w:pPr>
        <w:pStyle w:val="Heading2"/>
      </w:pPr>
      <w:bookmarkStart w:id="17" w:name="v5_heading_017"/>
      <w:r>
        <w:rPr>
          <w:rFonts w:ascii="Aptos" w:hAnsi="Aptos" w:eastAsia="Microsoft YaHei"/>
        </w:rPr>
        <w:t>7.1 Catalog 有界搜索</w:t>
      </w:r>
      <w:bookmarkEnd w:id="17"/>
    </w:p>
    <w:p>
      <w:pPr>
        <w:keepNext/>
      </w:pPr>
      <w:r>
        <w:rPr>
          <w:rFonts w:ascii="Aptos" w:hAnsi="Aptos" w:eastAsia="Microsoft YaHei"/>
        </w:rPr>
        <w:t>每个矿物组的阈值候选只能来自 Catalog 声明的安全范围。试算在分层场景样本上联合评价：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 w:eastAsia="Microsoft YaHei"/>
        </w:rPr>
        <w:t>候选证据强度与数量；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 w:eastAsia="Microsoft YaHei"/>
        </w:rPr>
        <w:t>候选覆盖率和过覆盖风险；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 w:eastAsia="Microsoft YaHei"/>
        </w:rPr>
        <w:t>横向/斜向空间支持；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 w:eastAsia="Microsoft YaHei"/>
        </w:rPr>
        <w:t>边缘、孤立小斑块和方向性伪影；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 w:eastAsia="Microsoft YaHei"/>
        </w:rPr>
        <w:t>固定列严重度乘以该列占候选像元的比例；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 w:eastAsia="Microsoft YaHei"/>
        </w:rPr>
        <w:t>下游矿物诊断特征可通过像元数；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 w:eastAsia="Microsoft YaHei"/>
        </w:rPr>
        <w:t>参考谱一致性、竞争差值和项目校准保持率。</w:t>
      </w:r>
    </w:p>
    <w:p>
      <w:r>
        <w:rPr>
          <w:rFonts w:ascii="Aptos" w:hAnsi="Aptos" w:eastAsia="Microsoft YaHei"/>
        </w:rPr>
        <w:t>固定列惩罚采用“异常严重度 × 候选占比”，防止一条坏列把整个组的阈值推到最严格边界。</w:t>
      </w:r>
    </w:p>
    <w:p>
      <w:pPr>
        <w:pStyle w:val="Heading2"/>
      </w:pPr>
      <w:bookmarkStart w:id="18" w:name="v5_heading_018"/>
      <w:r>
        <w:rPr>
          <w:rFonts w:ascii="Aptos" w:hAnsi="Aptos" w:eastAsia="Microsoft YaHei"/>
        </w:rPr>
        <w:t>7.2 严格、平衡、敏感</w:t>
      </w:r>
      <w:bookmarkEnd w:id="18"/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CellMar>
          <w:top w:type="dxa" w:w="80"/>
          <w:bottom w:type="dxa" w:w="80"/>
          <w:start w:type="dxa" w:w="120"/>
          <w:end w:type="dxa" w:w="120"/>
        </w:tblCellMar>
      </w:tblPr>
      <w:tblGrid>
        <w:gridCol w:w="2206"/>
        <w:gridCol w:w="2663"/>
        <w:gridCol w:w="4491"/>
      </w:tblGrid>
      <w:tr>
        <w:trPr>
          <w:cantSplit/>
          <w:tblHeader w:val="true"/>
        </w:trPr>
        <w:tc>
          <w:tcPr>
            <w:tcW w:type="dxa" w:w="2206"/>
            <w:vAlign w:val="center"/>
            <w:shd w:fill="DCEAF5"/>
          </w:tcPr>
          <w:p>
            <w:pPr>
              <w:keepNext/>
              <w:spacing w:after="0" w:line="240" w:lineRule="auto"/>
            </w:pPr>
            <w:r>
              <w:rPr>
                <w:rFonts w:ascii="Aptos" w:hAnsi="Aptos" w:eastAsia="Microsoft YaHei"/>
                <w:b/>
                <w:sz w:val="17"/>
              </w:rPr>
              <w:t>档位</w:t>
            </w:r>
          </w:p>
        </w:tc>
        <w:tc>
          <w:tcPr>
            <w:tcW w:type="dxa" w:w="2663"/>
            <w:vAlign w:val="center"/>
            <w:shd w:fill="DCEAF5"/>
          </w:tcPr>
          <w:p>
            <w:pPr>
              <w:keepNext/>
              <w:spacing w:after="0" w:line="240" w:lineRule="auto"/>
            </w:pPr>
            <w:r>
              <w:rPr>
                <w:rFonts w:ascii="Aptos" w:hAnsi="Aptos" w:eastAsia="Microsoft YaHei"/>
                <w:b/>
                <w:sz w:val="17"/>
              </w:rPr>
              <w:t>主要用途</w:t>
            </w:r>
          </w:p>
        </w:tc>
        <w:tc>
          <w:tcPr>
            <w:tcW w:type="dxa" w:w="4491"/>
            <w:vAlign w:val="center"/>
            <w:shd w:fill="DCEAF5"/>
          </w:tcPr>
          <w:p>
            <w:pPr>
              <w:keepNext/>
              <w:spacing w:after="0" w:line="240" w:lineRule="auto"/>
            </w:pPr>
            <w:r>
              <w:rPr>
                <w:rFonts w:ascii="Aptos" w:hAnsi="Aptos" w:eastAsia="Microsoft YaHei"/>
                <w:b/>
                <w:sz w:val="17"/>
              </w:rPr>
              <w:t>证据策略</w:t>
            </w:r>
          </w:p>
        </w:tc>
      </w:tr>
      <w:tr>
        <w:trPr>
          <w:cantSplit/>
        </w:trPr>
        <w:tc>
          <w:tcPr>
            <w:tcW w:type="dxa" w:w="22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7"/>
              </w:rPr>
              <w:t>严格 Conservative</w:t>
            </w:r>
          </w:p>
        </w:tc>
        <w:tc>
          <w:tcPr>
            <w:tcW w:type="dxa" w:w="2663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7"/>
              </w:rPr>
              <w:t>高可信复核、取样优先区</w:t>
            </w:r>
          </w:p>
        </w:tc>
        <w:tc>
          <w:tcPr>
            <w:tcW w:type="dxa" w:w="449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7"/>
              </w:rPr>
              <w:t>更高连续证据门、更严格一致性和空间支持</w:t>
            </w:r>
          </w:p>
        </w:tc>
      </w:tr>
      <w:tr>
        <w:trPr>
          <w:cantSplit/>
        </w:trPr>
        <w:tc>
          <w:tcPr>
            <w:tcW w:type="dxa" w:w="2206"/>
            <w:vAlign w:val="center"/>
            <w:shd w:fill="F5F8FA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7"/>
              </w:rPr>
              <w:t>平衡 Balanced</w:t>
            </w:r>
          </w:p>
        </w:tc>
        <w:tc>
          <w:tcPr>
            <w:tcW w:type="dxa" w:w="2663"/>
            <w:vAlign w:val="center"/>
            <w:shd w:fill="F5F8FA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7"/>
              </w:rPr>
              <w:t>默认解释与交付</w:t>
            </w:r>
          </w:p>
        </w:tc>
        <w:tc>
          <w:tcPr>
            <w:tcW w:type="dxa" w:w="4491"/>
            <w:vAlign w:val="center"/>
            <w:shd w:fill="F5F8FA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7"/>
              </w:rPr>
              <w:t>在召回、矿物特异性和伪影风险间折中</w:t>
            </w:r>
          </w:p>
        </w:tc>
      </w:tr>
      <w:tr>
        <w:trPr>
          <w:cantSplit/>
        </w:trPr>
        <w:tc>
          <w:tcPr>
            <w:tcW w:type="dxa" w:w="220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7"/>
              </w:rPr>
              <w:t>敏感 Sensitive</w:t>
            </w:r>
          </w:p>
        </w:tc>
        <w:tc>
          <w:tcPr>
            <w:tcW w:type="dxa" w:w="2663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7"/>
              </w:rPr>
              <w:t>找漏与边界检查</w:t>
            </w:r>
          </w:p>
        </w:tc>
        <w:tc>
          <w:tcPr>
            <w:tcW w:type="dxa" w:w="449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7"/>
              </w:rPr>
              <w:t>更宽候选域，但仍需诊断特征、SFF 和伪影终检</w:t>
            </w:r>
          </w:p>
        </w:tc>
      </w:tr>
    </w:tbl>
    <w:p>
      <w:pPr>
        <w:spacing w:after="20"/>
      </w:pPr>
    </w:p>
    <w:p>
      <w:r>
        <w:rPr>
          <w:rFonts w:ascii="Aptos" w:hAnsi="Aptos" w:eastAsia="Microsoft YaHei"/>
        </w:rPr>
        <w:t>三档从同一连续证据排序解析独立阈值，不共享一张布尔 QDA 掩膜。生成后执行嵌套约束，保证严格档像元属于平衡档，平衡档像元属于敏感档。</w:t>
      </w:r>
    </w:p>
    <w:p>
      <w:r>
        <w:rPr>
          <w:rFonts w:ascii="Aptos" w:hAnsi="Aptos" w:eastAsia="Microsoft YaHei"/>
        </w:rPr>
        <w:t>用户可在阈值页编辑列分位和绝对 SAM 角度，但不能越过安全包络。编辑后必须重新试算；正式运行会在全场景重新验证阈值和特征可通过率。</w:t>
      </w:r>
    </w:p>
    <w:p>
      <w:pPr>
        <w:pStyle w:val="Heading1"/>
      </w:pPr>
      <w:bookmarkStart w:id="19" w:name="v5_heading_019"/>
      <w:r>
        <w:rPr>
          <w:rFonts w:ascii="Aptos" w:hAnsi="Aptos" w:eastAsia="Microsoft YaHei"/>
        </w:rPr>
        <w:t>8. 纵向条带噪声抑制 V14</w:t>
      </w:r>
      <w:bookmarkEnd w:id="19"/>
    </w:p>
    <w:p>
      <w:pPr>
        <w:pStyle w:val="Heading2"/>
      </w:pPr>
      <w:bookmarkStart w:id="20" w:name="v5_heading_020"/>
      <w:r>
        <w:rPr>
          <w:rFonts w:ascii="Aptos" w:hAnsi="Aptos" w:eastAsia="Microsoft YaHei"/>
        </w:rPr>
        <w:t>8.1 为什么不能只看全图列密度</w:t>
      </w:r>
      <w:bookmarkEnd w:id="20"/>
    </w:p>
    <w:p>
      <w:r>
        <w:rPr>
          <w:rFonts w:ascii="Aptos" w:hAnsi="Aptos" w:eastAsia="Microsoft YaHei"/>
        </w:rPr>
        <w:t>岩心影像由多个分离岩心盒或深度段组成。一条固定探测器列可能只在每个岩心段出现短响应，全图占比不高，却在最终分类中形成多段对齐的整齐纵条。因此 V14 将“同列跨段重复”作为核心检测对象。</w:t>
      </w:r>
    </w:p>
    <w:p>
      <w:pPr>
        <w:pStyle w:val="Heading2"/>
      </w:pPr>
      <w:bookmarkStart w:id="21" w:name="v5_heading_021"/>
      <w:r>
        <w:rPr>
          <w:rFonts w:ascii="Aptos" w:hAnsi="Aptos" w:eastAsia="Microsoft YaHei"/>
        </w:rPr>
        <w:t>8.2 重复窄列检测</w:t>
      </w:r>
      <w:bookmarkEnd w:id="21"/>
    </w:p>
    <w:p>
      <w:pPr>
        <w:keepNext/>
      </w:pPr>
      <w:r>
        <w:rPr>
          <w:rFonts w:ascii="Aptos" w:hAnsi="Aptos" w:eastAsia="Microsoft YaHei"/>
        </w:rPr>
        <w:t>系统从材料掩膜自动解析独立岩心段，并按矿物、档位逐列统计：</w:t>
      </w:r>
    </w:p>
    <w:p>
      <w:pPr>
        <w:pStyle w:val="ListNumber"/>
        <w:spacing w:after="80" w:line="300" w:lineRule="auto"/>
        <w:ind w:left="540" w:hanging="271"/>
        <w:numPr>
          <w:ilvl w:val="0"/>
          <w:numId w:val="11"/>
        </w:numPr>
      </w:pPr>
      <w:r>
        <w:rPr>
          <w:rFonts w:ascii="Aptos" w:hAnsi="Aptos" w:eastAsia="Microsoft YaHei"/>
        </w:rPr>
        <w:t>同一列是否在至少两个独立岩心段重复出现；</w:t>
      </w:r>
    </w:p>
    <w:p>
      <w:pPr>
        <w:pStyle w:val="ListNumber"/>
        <w:spacing w:after="80" w:line="300" w:lineRule="auto"/>
        <w:ind w:left="540" w:hanging="271"/>
        <w:numPr>
          <w:ilvl w:val="0"/>
          <w:numId w:val="11"/>
        </w:numPr>
      </w:pPr>
      <w:r>
        <w:rPr>
          <w:rFonts w:ascii="Aptos" w:hAnsi="Aptos" w:eastAsia="Microsoft YaHei"/>
        </w:rPr>
        <w:t>该列相对相邻列是否形成窄峰；</w:t>
      </w:r>
    </w:p>
    <w:p>
      <w:pPr>
        <w:pStyle w:val="ListNumber"/>
        <w:spacing w:after="80" w:line="300" w:lineRule="auto"/>
        <w:ind w:left="540" w:hanging="271"/>
        <w:numPr>
          <w:ilvl w:val="0"/>
          <w:numId w:val="11"/>
        </w:numPr>
      </w:pPr>
      <w:r>
        <w:rPr>
          <w:rFonts w:ascii="Aptos" w:hAnsi="Aptos" w:eastAsia="Microsoft YaHei"/>
        </w:rPr>
        <w:t>响应是否主要集中在少数列；</w:t>
      </w:r>
    </w:p>
    <w:p>
      <w:pPr>
        <w:pStyle w:val="ListNumber"/>
        <w:spacing w:after="80" w:line="300" w:lineRule="auto"/>
        <w:ind w:left="540" w:hanging="271"/>
        <w:numPr>
          <w:ilvl w:val="0"/>
          <w:numId w:val="11"/>
        </w:numPr>
      </w:pPr>
      <w:r>
        <w:rPr>
          <w:rFonts w:ascii="Aptos" w:hAnsi="Aptos" w:eastAsia="Microsoft YaHei"/>
        </w:rPr>
        <w:t>是否缺少同类横向或斜向延伸支撑；</w:t>
      </w:r>
    </w:p>
    <w:p>
      <w:pPr>
        <w:pStyle w:val="ListNumber"/>
        <w:spacing w:after="80" w:line="300" w:lineRule="auto"/>
        <w:ind w:left="540" w:hanging="271"/>
        <w:numPr>
          <w:ilvl w:val="0"/>
          <w:numId w:val="11"/>
        </w:numPr>
      </w:pPr>
      <w:r>
        <w:rPr>
          <w:rFonts w:ascii="Aptos" w:hAnsi="Aptos" w:eastAsia="Microsoft YaHei"/>
        </w:rPr>
        <w:t>删除后是否破坏更强档到更弱档的嵌套关系。</w:t>
      </w:r>
    </w:p>
    <w:p>
      <w:r>
        <w:rPr>
          <w:rFonts w:ascii="Aptos" w:hAnsi="Aptos" w:eastAsia="Microsoft YaHei"/>
        </w:rPr>
        <w:t>只有同时满足重复、窄峰和缺乏地质支撑的像元才被剔除。单一岩心段中的纵向矿化、横向斑块、斜裂隙和跨列连续结构可以保留。</w:t>
      </w:r>
    </w:p>
    <w:p>
      <w:pPr>
        <w:pStyle w:val="Heading2"/>
      </w:pPr>
      <w:bookmarkStart w:id="22" w:name="v5_heading_022"/>
      <w:r>
        <w:rPr>
          <w:rFonts w:ascii="Aptos" w:hAnsi="Aptos" w:eastAsia="Microsoft YaHei"/>
        </w:rPr>
        <w:t>8.3 主导重复走廊</w:t>
      </w:r>
      <w:bookmarkEnd w:id="22"/>
    </w:p>
    <w:p>
      <w:r>
        <w:rPr>
          <w:rFonts w:ascii="Aptos" w:hAnsi="Aptos" w:eastAsia="Microsoft YaHei"/>
        </w:rPr>
        <w:t>相距不超过 7 列的重复峰会合并为同一走廊审查，避免相邻坏列互相提供伪“斜向支撑”。当走廊宽度不超过 24 列、承载单矿物超过 55% 的像元并重复于至少 4 个岩心段时，系统将其判为主导重复走廊；只有真正贯穿走廊左右两侧的地质响应可获得双侧保护。</w:t>
      </w:r>
    </w:p>
    <w:p>
      <w:pPr>
        <w:pStyle w:val="Heading2"/>
      </w:pPr>
      <w:bookmarkStart w:id="23" w:name="v5_heading_023"/>
      <w:r>
        <w:rPr>
          <w:rFonts w:ascii="Aptos" w:hAnsi="Aptos" w:eastAsia="Microsoft YaHei"/>
        </w:rPr>
        <w:t>8.4 终检位置</w:t>
      </w:r>
      <w:bookmarkEnd w:id="23"/>
    </w:p>
    <w:p>
      <w:pPr>
        <w:keepNext/>
      </w:pPr>
      <w:r>
        <w:rPr>
          <w:rFonts w:ascii="Aptos" w:hAnsi="Aptos" w:eastAsia="Microsoft YaHei"/>
        </w:rPr>
        <w:t>条带控制不是单次后处理。V14 在以下位置重复执行并迭代至稳定：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 w:eastAsia="Microsoft YaHei"/>
        </w:rPr>
        <w:t>各矿物组空间清理后；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 w:eastAsia="Microsoft YaHei"/>
        </w:rPr>
        <w:t>三档嵌套关系恢复后；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 w:eastAsia="Microsoft YaHei"/>
        </w:rPr>
        <w:t>伊利石、蒙脱石和高岭石跨组竞争后；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 w:eastAsia="Microsoft YaHei"/>
        </w:rPr>
        <w:t>最终写盘前的质量发布门。</w:t>
      </w:r>
    </w:p>
    <w:p>
      <w:r>
        <w:rPr>
          <w:rFonts w:ascii="Aptos" w:hAnsi="Aptos" w:eastAsia="Microsoft YaHei"/>
        </w:rPr>
        <w:t xml:space="preserve">若最终图仍存在可剔除多段重复窄列，系统产生 </w:t>
      </w:r>
      <w:r>
        <w:rPr>
          <w:rFonts w:ascii="Cascadia Mono" w:hAnsi="Cascadia Mono" w:eastAsia="Microsoft YaHei"/>
          <w:color w:val="8A3E16"/>
          <w:sz w:val="18"/>
        </w:rPr>
        <w:t>REPEATED_NARROW_COLUMN_RESIDUAL</w:t>
      </w:r>
      <w:r>
        <w:rPr>
          <w:rFonts w:ascii="Aptos" w:hAnsi="Aptos" w:eastAsia="Microsoft YaHei"/>
        </w:rPr>
        <w:t>，并将成果判为不可发布。</w:t>
      </w:r>
    </w:p>
    <w:p>
      <w:pPr>
        <w:pStyle w:val="Heading1"/>
      </w:pPr>
      <w:bookmarkStart w:id="24" w:name="v5_heading_024"/>
      <w:r>
        <w:rPr>
          <w:rFonts w:ascii="Aptos" w:hAnsi="Aptos" w:eastAsia="Microsoft YaHei"/>
        </w:rPr>
        <w:t>9. 工程 QA、可追溯性与发布门</w:t>
      </w:r>
      <w:bookmarkEnd w:id="24"/>
    </w:p>
    <w:p>
      <w:pPr>
        <w:keepNext/>
      </w:pPr>
      <w:r>
        <w:rPr>
          <w:rFonts w:ascii="Aptos" w:hAnsi="Aptos" w:eastAsia="Microsoft YaHei"/>
        </w:rPr>
        <w:t>每次运行保存以下可追溯信息：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 w:eastAsia="Microsoft YaHei"/>
        </w:rPr>
        <w:t>输入文件大小、时间戳与哈希；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 w:eastAsia="Microsoft YaHei"/>
        </w:rPr>
        <w:t>软件版本、配置版本和资源哈希；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 w:eastAsia="Microsoft YaHei"/>
        </w:rPr>
        <w:t>传感器能力、FWHM 状态和数据物理；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 w:eastAsia="Microsoft YaHei"/>
        </w:rPr>
        <w:t>掩膜来源、质量指标和人工批准记录；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 w:eastAsia="Microsoft YaHei"/>
        </w:rPr>
        <w:t>每条标准谱的来源、样品身份、重采样方法和选择理由；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 w:eastAsia="Microsoft YaHei"/>
        </w:rPr>
        <w:t>全部阈值候选、目标函数、最终值和用户覆盖值；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 w:eastAsia="Microsoft YaHei"/>
        </w:rPr>
        <w:t>每个矿物的候选、特征通过、竞争、空间清理和最终像元计数；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 w:eastAsia="Microsoft YaHei"/>
        </w:rPr>
        <w:t>三档嵌套、跨组重叠和条带终检指标；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 w:eastAsia="Microsoft YaHei"/>
        </w:rPr>
        <w:t>质量等级、警告、</w:t>
      </w:r>
      <w:r>
        <w:rPr>
          <w:rFonts w:ascii="Cascadia Mono" w:hAnsi="Cascadia Mono" w:eastAsia="Microsoft YaHei"/>
          <w:color w:val="8A3E16"/>
          <w:sz w:val="18"/>
        </w:rPr>
        <w:t>publishable</w:t>
      </w:r>
      <w:r>
        <w:rPr>
          <w:rFonts w:ascii="Aptos" w:hAnsi="Aptos" w:eastAsia="Microsoft YaHei"/>
        </w:rPr>
        <w:t xml:space="preserve"> 与输出文件清单。</w:t>
      </w:r>
    </w:p>
    <w:p>
      <w:r>
        <w:rPr>
          <w:rFonts w:ascii="Aptos" w:hAnsi="Aptos" w:eastAsia="Microsoft YaHei"/>
        </w:rPr>
        <w:t>发布门至少检查输入/资源完整性、掩膜质量与批准、阈值试算状态、矿物证据可用性、三档嵌套、跨组互斥、重复窄列残留和输出完整性。</w:t>
      </w:r>
    </w:p>
    <w:p>
      <w:pPr>
        <w:pStyle w:val="Heading1"/>
      </w:pPr>
      <w:bookmarkStart w:id="25" w:name="v5_heading_025"/>
      <w:r>
        <w:rPr>
          <w:rFonts w:ascii="Aptos" w:hAnsi="Aptos" w:eastAsia="Microsoft YaHei"/>
        </w:rPr>
        <w:t>10. NC-1 V14 稳定版验收</w:t>
      </w:r>
      <w:bookmarkEnd w:id="25"/>
    </w:p>
    <w:p>
      <w:pPr>
        <w:keepNext/>
      </w:pPr>
      <w:r>
        <w:rPr>
          <w:rFonts w:ascii="Aptos" w:hAnsi="Aptos" w:eastAsia="Microsoft YaHei"/>
        </w:rPr>
        <w:t>最终回归运行：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 w:eastAsia="Microsoft YaHei"/>
        </w:rPr>
        <w:t>运行目录：</w:t>
      </w:r>
      <w:r>
        <w:rPr>
          <w:rFonts w:ascii="Cascadia Mono" w:hAnsi="Cascadia Mono" w:eastAsia="Microsoft YaHei"/>
          <w:color w:val="8A3E16"/>
          <w:sz w:val="18"/>
        </w:rPr>
        <w:t>project_calibrated_v14_dominant_corridor_20260721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 w:eastAsia="Microsoft YaHei"/>
        </w:rPr>
        <w:t>输入尺寸：5,446 × 320 × 212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 w:eastAsia="Microsoft YaHei"/>
        </w:rPr>
        <w:t>人工批准材料掩膜：332,814 像元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 w:eastAsia="Microsoft YaHei"/>
        </w:rPr>
        <w:t>质量：B / Warning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 w:eastAsia="Microsoft YaHei"/>
        </w:rPr>
        <w:t>发布状态：</w:t>
      </w:r>
      <w:r>
        <w:rPr>
          <w:rFonts w:ascii="Cascadia Mono" w:hAnsi="Cascadia Mono" w:eastAsia="Microsoft YaHei"/>
          <w:color w:val="8A3E16"/>
          <w:sz w:val="18"/>
        </w:rPr>
        <w:t>publishable=true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 w:eastAsia="Microsoft YaHei"/>
        </w:rPr>
        <w:t>自动化回归：144 项全部通过，其中包含前端稳定性、识别链、三档嵌套和条带走廊测试</w:t>
      </w:r>
    </w:p>
    <w:p>
      <w:pPr>
        <w:keepNext/>
      </w:pPr>
      <w:r>
        <w:rPr>
          <w:rFonts w:ascii="Aptos" w:hAnsi="Aptos" w:eastAsia="Microsoft YaHei"/>
        </w:rPr>
        <w:t>平衡档最终像元数：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CellMar>
          <w:top w:type="dxa" w:w="80"/>
          <w:bottom w:type="dxa" w:w="80"/>
          <w:start w:type="dxa" w:w="120"/>
          <w:end w:type="dxa" w:w="120"/>
        </w:tblCellMar>
      </w:tblPr>
      <w:tblGrid>
        <w:gridCol w:w="1938"/>
        <w:gridCol w:w="1617"/>
        <w:gridCol w:w="2903"/>
        <w:gridCol w:w="2903"/>
      </w:tblGrid>
      <w:tr>
        <w:trPr>
          <w:cantSplit/>
          <w:tblHeader w:val="true"/>
        </w:trPr>
        <w:tc>
          <w:tcPr>
            <w:tcW w:type="dxa" w:w="1938"/>
            <w:vAlign w:val="center"/>
            <w:shd w:fill="DCEAF5"/>
          </w:tcPr>
          <w:p>
            <w:pPr>
              <w:keepNext/>
              <w:spacing w:after="0" w:line="240" w:lineRule="auto"/>
            </w:pPr>
            <w:r>
              <w:rPr>
                <w:rFonts w:ascii="Aptos" w:hAnsi="Aptos" w:eastAsia="Microsoft YaHei"/>
                <w:b/>
                <w:sz w:val="17"/>
              </w:rPr>
              <w:t>矿物</w:t>
            </w:r>
          </w:p>
        </w:tc>
        <w:tc>
          <w:tcPr>
            <w:tcW w:type="dxa" w:w="1617"/>
            <w:vAlign w:val="center"/>
            <w:shd w:fill="DCEAF5"/>
          </w:tcPr>
          <w:p>
            <w:pPr>
              <w:keepNext/>
              <w:spacing w:after="0" w:line="240" w:lineRule="auto"/>
            </w:pPr>
            <w:r>
              <w:rPr>
                <w:rFonts w:ascii="Aptos" w:hAnsi="Aptos" w:eastAsia="Microsoft YaHei"/>
                <w:b/>
                <w:sz w:val="17"/>
              </w:rPr>
              <w:t>像元数</w:t>
            </w:r>
          </w:p>
        </w:tc>
        <w:tc>
          <w:tcPr>
            <w:tcW w:type="dxa" w:w="2903"/>
            <w:vAlign w:val="center"/>
            <w:shd w:fill="DCEAF5"/>
          </w:tcPr>
          <w:p>
            <w:pPr>
              <w:keepNext/>
              <w:spacing w:after="0" w:line="240" w:lineRule="auto"/>
            </w:pPr>
            <w:r>
              <w:rPr>
                <w:rFonts w:ascii="Aptos" w:hAnsi="Aptos" w:eastAsia="Microsoft YaHei"/>
                <w:b/>
                <w:sz w:val="17"/>
              </w:rPr>
              <w:t>项目弱标签精度</w:t>
            </w:r>
          </w:p>
        </w:tc>
        <w:tc>
          <w:tcPr>
            <w:tcW w:type="dxa" w:w="2903"/>
            <w:vAlign w:val="center"/>
            <w:shd w:fill="DCEAF5"/>
          </w:tcPr>
          <w:p>
            <w:pPr>
              <w:keepNext/>
              <w:spacing w:after="0" w:line="240" w:lineRule="auto"/>
            </w:pPr>
            <w:r>
              <w:rPr>
                <w:rFonts w:ascii="Aptos" w:hAnsi="Aptos" w:eastAsia="Microsoft YaHei"/>
                <w:b/>
                <w:sz w:val="17"/>
              </w:rPr>
              <w:t>项目弱标签召回</w:t>
            </w:r>
          </w:p>
        </w:tc>
      </w:tr>
      <w:tr>
        <w:trPr>
          <w:cantSplit/>
        </w:trPr>
        <w:tc>
          <w:tcPr>
            <w:tcW w:type="dxa" w:w="193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7"/>
              </w:rPr>
              <w:t>方解石</w:t>
            </w:r>
          </w:p>
        </w:tc>
        <w:tc>
          <w:tcPr>
            <w:tcW w:type="dxa" w:w="1617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7"/>
              </w:rPr>
              <w:t>2,426</w:t>
            </w:r>
          </w:p>
        </w:tc>
        <w:tc>
          <w:tcPr>
            <w:tcW w:type="dxa" w:w="2903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7"/>
              </w:rPr>
              <w:t>63.64%</w:t>
            </w:r>
          </w:p>
        </w:tc>
        <w:tc>
          <w:tcPr>
            <w:tcW w:type="dxa" w:w="2903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7"/>
              </w:rPr>
              <w:t>48.27%</w:t>
            </w:r>
          </w:p>
        </w:tc>
      </w:tr>
      <w:tr>
        <w:trPr>
          <w:cantSplit/>
        </w:trPr>
        <w:tc>
          <w:tcPr>
            <w:tcW w:type="dxa" w:w="1938"/>
            <w:vAlign w:val="center"/>
            <w:shd w:fill="F5F8FA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7"/>
              </w:rPr>
              <w:t>白云石</w:t>
            </w:r>
          </w:p>
        </w:tc>
        <w:tc>
          <w:tcPr>
            <w:tcW w:type="dxa" w:w="1617"/>
            <w:vAlign w:val="center"/>
            <w:shd w:fill="F5F8FA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7"/>
              </w:rPr>
              <w:t>1,442</w:t>
            </w:r>
          </w:p>
        </w:tc>
        <w:tc>
          <w:tcPr>
            <w:tcW w:type="dxa" w:w="2903"/>
            <w:vAlign w:val="center"/>
            <w:shd w:fill="F5F8FA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7"/>
              </w:rPr>
              <w:t>31.28%</w:t>
            </w:r>
          </w:p>
        </w:tc>
        <w:tc>
          <w:tcPr>
            <w:tcW w:type="dxa" w:w="2903"/>
            <w:vAlign w:val="center"/>
            <w:shd w:fill="F5F8FA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7"/>
              </w:rPr>
              <w:t>28.98%</w:t>
            </w:r>
          </w:p>
        </w:tc>
      </w:tr>
      <w:tr>
        <w:trPr>
          <w:cantSplit/>
        </w:trPr>
        <w:tc>
          <w:tcPr>
            <w:tcW w:type="dxa" w:w="193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7"/>
              </w:rPr>
              <w:t>无水石膏</w:t>
            </w:r>
          </w:p>
        </w:tc>
        <w:tc>
          <w:tcPr>
            <w:tcW w:type="dxa" w:w="1617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7"/>
              </w:rPr>
              <w:t>233</w:t>
            </w:r>
          </w:p>
        </w:tc>
        <w:tc>
          <w:tcPr>
            <w:tcW w:type="dxa" w:w="2903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7"/>
              </w:rPr>
              <w:t>9.00%</w:t>
            </w:r>
          </w:p>
        </w:tc>
        <w:tc>
          <w:tcPr>
            <w:tcW w:type="dxa" w:w="2903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7"/>
              </w:rPr>
              <w:t>5.00%</w:t>
            </w:r>
          </w:p>
        </w:tc>
      </w:tr>
      <w:tr>
        <w:trPr>
          <w:cantSplit/>
        </w:trPr>
        <w:tc>
          <w:tcPr>
            <w:tcW w:type="dxa" w:w="1938"/>
            <w:vAlign w:val="center"/>
            <w:shd w:fill="F5F8FA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7"/>
              </w:rPr>
              <w:t>石膏</w:t>
            </w:r>
          </w:p>
        </w:tc>
        <w:tc>
          <w:tcPr>
            <w:tcW w:type="dxa" w:w="1617"/>
            <w:vAlign w:val="center"/>
            <w:shd w:fill="F5F8FA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7"/>
              </w:rPr>
              <w:t>6,317</w:t>
            </w:r>
          </w:p>
        </w:tc>
        <w:tc>
          <w:tcPr>
            <w:tcW w:type="dxa" w:w="2903"/>
            <w:vAlign w:val="center"/>
            <w:shd w:fill="F5F8FA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7"/>
              </w:rPr>
              <w:t>57.10%</w:t>
            </w:r>
          </w:p>
        </w:tc>
        <w:tc>
          <w:tcPr>
            <w:tcW w:type="dxa" w:w="2903"/>
            <w:vAlign w:val="center"/>
            <w:shd w:fill="F5F8FA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7"/>
              </w:rPr>
              <w:t>15.85%</w:t>
            </w:r>
          </w:p>
        </w:tc>
      </w:tr>
      <w:tr>
        <w:trPr>
          <w:cantSplit/>
        </w:trPr>
        <w:tc>
          <w:tcPr>
            <w:tcW w:type="dxa" w:w="193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7"/>
              </w:rPr>
              <w:t>伊利石</w:t>
            </w:r>
          </w:p>
        </w:tc>
        <w:tc>
          <w:tcPr>
            <w:tcW w:type="dxa" w:w="1617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7"/>
              </w:rPr>
              <w:t>1,298</w:t>
            </w:r>
          </w:p>
        </w:tc>
        <w:tc>
          <w:tcPr>
            <w:tcW w:type="dxa" w:w="2903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7"/>
              </w:rPr>
              <w:t>14.02%</w:t>
            </w:r>
          </w:p>
        </w:tc>
        <w:tc>
          <w:tcPr>
            <w:tcW w:type="dxa" w:w="2903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7"/>
              </w:rPr>
              <w:t>3.16%</w:t>
            </w:r>
          </w:p>
        </w:tc>
      </w:tr>
      <w:tr>
        <w:trPr>
          <w:cantSplit/>
        </w:trPr>
        <w:tc>
          <w:tcPr>
            <w:tcW w:type="dxa" w:w="1938"/>
            <w:vAlign w:val="center"/>
            <w:shd w:fill="F5F8FA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7"/>
              </w:rPr>
              <w:t>蒙脱石</w:t>
            </w:r>
          </w:p>
        </w:tc>
        <w:tc>
          <w:tcPr>
            <w:tcW w:type="dxa" w:w="1617"/>
            <w:vAlign w:val="center"/>
            <w:shd w:fill="F5F8FA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7"/>
              </w:rPr>
              <w:t>2,265</w:t>
            </w:r>
          </w:p>
        </w:tc>
        <w:tc>
          <w:tcPr>
            <w:tcW w:type="dxa" w:w="2903"/>
            <w:vAlign w:val="center"/>
            <w:shd w:fill="F5F8FA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7"/>
              </w:rPr>
              <w:t>9.49%</w:t>
            </w:r>
          </w:p>
        </w:tc>
        <w:tc>
          <w:tcPr>
            <w:tcW w:type="dxa" w:w="2903"/>
            <w:vAlign w:val="center"/>
            <w:shd w:fill="F5F8FA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7"/>
              </w:rPr>
              <w:t>5.82%</w:t>
            </w:r>
          </w:p>
        </w:tc>
      </w:tr>
      <w:tr>
        <w:trPr>
          <w:cantSplit/>
        </w:trPr>
        <w:tc>
          <w:tcPr>
            <w:tcW w:type="dxa" w:w="193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7"/>
              </w:rPr>
              <w:t>高岭石</w:t>
            </w:r>
          </w:p>
        </w:tc>
        <w:tc>
          <w:tcPr>
            <w:tcW w:type="dxa" w:w="1617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7"/>
              </w:rPr>
              <w:t>2,559</w:t>
            </w:r>
          </w:p>
        </w:tc>
        <w:tc>
          <w:tcPr>
            <w:tcW w:type="dxa" w:w="2903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7"/>
              </w:rPr>
              <w:t>19.30%</w:t>
            </w:r>
          </w:p>
        </w:tc>
        <w:tc>
          <w:tcPr>
            <w:tcW w:type="dxa" w:w="2903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7"/>
              </w:rPr>
              <w:t>12.27%</w:t>
            </w:r>
          </w:p>
        </w:tc>
      </w:tr>
    </w:tbl>
    <w:p>
      <w:pPr>
        <w:spacing w:after="20"/>
      </w:pPr>
    </w:p>
    <w:p>
      <w:r>
        <w:rPr>
          <w:rFonts w:ascii="Aptos" w:hAnsi="Aptos" w:eastAsia="Microsoft YaHei"/>
        </w:rPr>
        <w:t xml:space="preserve">三档所有矿物组的 </w:t>
      </w:r>
      <w:r>
        <w:rPr>
          <w:rFonts w:ascii="Cascadia Mono" w:hAnsi="Cascadia Mono" w:eastAsia="Microsoft YaHei"/>
          <w:color w:val="8A3E16"/>
          <w:sz w:val="18"/>
        </w:rPr>
        <w:t>repeated_narrow_column_count</w:t>
      </w:r>
      <w:r>
        <w:rPr>
          <w:rFonts w:ascii="Aptos" w:hAnsi="Aptos" w:eastAsia="Microsoft YaHei"/>
        </w:rPr>
        <w:t>、</w:t>
      </w:r>
      <w:r>
        <w:rPr>
          <w:rFonts w:ascii="Cascadia Mono" w:hAnsi="Cascadia Mono" w:eastAsia="Microsoft YaHei"/>
          <w:color w:val="8A3E16"/>
          <w:sz w:val="18"/>
        </w:rPr>
        <w:t>dominant_repeated_corridor_count</w:t>
      </w:r>
      <w:r>
        <w:rPr>
          <w:rFonts w:ascii="Aptos" w:hAnsi="Aptos" w:eastAsia="Microsoft YaHei"/>
        </w:rPr>
        <w:t xml:space="preserve"> 和 </w:t>
      </w:r>
      <w:r>
        <w:rPr>
          <w:rFonts w:ascii="Cascadia Mono" w:hAnsi="Cascadia Mono" w:eastAsia="Microsoft YaHei"/>
          <w:color w:val="8A3E16"/>
          <w:sz w:val="18"/>
        </w:rPr>
        <w:t>repeated_stripe_like_pixels</w:t>
      </w:r>
      <w:r>
        <w:rPr>
          <w:rFonts w:ascii="Aptos" w:hAnsi="Aptos" w:eastAsia="Microsoft YaHei"/>
        </w:rPr>
        <w:t xml:space="preserve"> 均为 0。平衡档伊利石、蒙脱石和高岭石最大列密度分别为 6.41%、6.39% 和 5.37%。这些项目弱标签指标用于回归对比，不是独立矿物学真值。</w:t>
      </w:r>
    </w:p>
    <w:p>
      <w:pPr>
        <w:pStyle w:val="Heading1"/>
      </w:pPr>
      <w:bookmarkStart w:id="26" w:name="v5_heading_026"/>
      <w:r>
        <w:rPr>
          <w:rFonts w:ascii="Aptos" w:hAnsi="Aptos" w:eastAsia="Microsoft YaHei"/>
        </w:rPr>
        <w:t>11. 失败模式与系统响应</w:t>
      </w:r>
      <w:bookmarkEnd w:id="26"/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CellMar>
          <w:top w:type="dxa" w:w="80"/>
          <w:bottom w:type="dxa" w:w="80"/>
          <w:start w:type="dxa" w:w="120"/>
          <w:end w:type="dxa" w:w="120"/>
        </w:tblCellMar>
      </w:tblPr>
      <w:tblGrid>
        <w:gridCol w:w="4176"/>
        <w:gridCol w:w="5184"/>
      </w:tblGrid>
      <w:tr>
        <w:trPr>
          <w:cantSplit/>
          <w:tblHeader w:val="true"/>
        </w:trPr>
        <w:tc>
          <w:tcPr>
            <w:tcW w:type="dxa" w:w="4176"/>
            <w:vAlign w:val="center"/>
            <w:shd w:fill="DCEAF5"/>
          </w:tcPr>
          <w:p>
            <w:pPr>
              <w:keepNext/>
              <w:spacing w:after="0" w:line="240" w:lineRule="auto"/>
            </w:pPr>
            <w:r>
              <w:rPr>
                <w:rFonts w:ascii="Aptos" w:hAnsi="Aptos" w:eastAsia="Microsoft YaHei"/>
                <w:b/>
                <w:sz w:val="17"/>
              </w:rPr>
              <w:t>失败模式</w:t>
            </w:r>
          </w:p>
        </w:tc>
        <w:tc>
          <w:tcPr>
            <w:tcW w:type="dxa" w:w="5184"/>
            <w:vAlign w:val="center"/>
            <w:shd w:fill="DCEAF5"/>
          </w:tcPr>
          <w:p>
            <w:pPr>
              <w:keepNext/>
              <w:spacing w:after="0" w:line="240" w:lineRule="auto"/>
            </w:pPr>
            <w:r>
              <w:rPr>
                <w:rFonts w:ascii="Aptos" w:hAnsi="Aptos" w:eastAsia="Microsoft YaHei"/>
                <w:b/>
                <w:sz w:val="17"/>
              </w:rPr>
              <w:t>稳定版响应</w:t>
            </w:r>
          </w:p>
        </w:tc>
      </w:tr>
      <w:tr>
        <w:trPr>
          <w:cantSplit/>
        </w:trPr>
        <w:tc>
          <w:tcPr>
            <w:tcW w:type="dxa" w:w="417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7"/>
              </w:rPr>
              <w:t>缺少主立方体、波长或 ENVI 头</w:t>
            </w:r>
          </w:p>
        </w:tc>
        <w:tc>
          <w:tcPr>
            <w:tcW w:type="dxa" w:w="5184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7"/>
              </w:rPr>
              <w:t>阻断审计并指出缺失项</w:t>
            </w:r>
          </w:p>
        </w:tc>
      </w:tr>
      <w:tr>
        <w:trPr>
          <w:cantSplit/>
        </w:trPr>
        <w:tc>
          <w:tcPr>
            <w:tcW w:type="dxa" w:w="4176"/>
            <w:vAlign w:val="center"/>
            <w:shd w:fill="F5F8FA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7"/>
              </w:rPr>
              <w:t>自动掩膜缺少 RGB/模型资产</w:t>
            </w:r>
          </w:p>
        </w:tc>
        <w:tc>
          <w:tcPr>
            <w:tcW w:type="dxa" w:w="5184"/>
            <w:vAlign w:val="center"/>
            <w:shd w:fill="F5F8FA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7"/>
              </w:rPr>
              <w:t>阻断，不静默切换其他引擎</w:t>
            </w:r>
          </w:p>
        </w:tc>
      </w:tr>
      <w:tr>
        <w:trPr>
          <w:cantSplit/>
        </w:trPr>
        <w:tc>
          <w:tcPr>
            <w:tcW w:type="dxa" w:w="417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7"/>
              </w:rPr>
              <w:t>掩膜过小、近全幅或轮廓化</w:t>
            </w:r>
          </w:p>
        </w:tc>
        <w:tc>
          <w:tcPr>
            <w:tcW w:type="dxa" w:w="5184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7"/>
              </w:rPr>
              <w:t>质量阻断或警告，要求人工复核</w:t>
            </w:r>
          </w:p>
        </w:tc>
      </w:tr>
      <w:tr>
        <w:trPr>
          <w:cantSplit/>
        </w:trPr>
        <w:tc>
          <w:tcPr>
            <w:tcW w:type="dxa" w:w="4176"/>
            <w:vAlign w:val="center"/>
            <w:shd w:fill="F5F8FA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7"/>
              </w:rPr>
              <w:t>目标矿物必要波段不可见</w:t>
            </w:r>
          </w:p>
        </w:tc>
        <w:tc>
          <w:tcPr>
            <w:tcW w:type="dxa" w:w="5184"/>
            <w:vAlign w:val="center"/>
            <w:shd w:fill="F5F8FA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7"/>
              </w:rPr>
              <w:t>禁用该矿物或明确标为不支持</w:t>
            </w:r>
          </w:p>
        </w:tc>
      </w:tr>
      <w:tr>
        <w:trPr>
          <w:cantSplit/>
        </w:trPr>
        <w:tc>
          <w:tcPr>
            <w:tcW w:type="dxa" w:w="417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7"/>
              </w:rPr>
              <w:t>标准谱为空或全部 QC 拒绝</w:t>
            </w:r>
          </w:p>
        </w:tc>
        <w:tc>
          <w:tcPr>
            <w:tcW w:type="dxa" w:w="5184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7"/>
              </w:rPr>
              <w:t>阻断该矿物，不使用无依据默认谱</w:t>
            </w:r>
          </w:p>
        </w:tc>
      </w:tr>
      <w:tr>
        <w:trPr>
          <w:cantSplit/>
        </w:trPr>
        <w:tc>
          <w:tcPr>
            <w:tcW w:type="dxa" w:w="4176"/>
            <w:vAlign w:val="center"/>
            <w:shd w:fill="F5F8FA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7"/>
              </w:rPr>
              <w:t>SAM 候选非零但特征门为零</w:t>
            </w:r>
          </w:p>
        </w:tc>
        <w:tc>
          <w:tcPr>
            <w:tcW w:type="dxa" w:w="5184"/>
            <w:vAlign w:val="center"/>
            <w:shd w:fill="F5F8FA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7"/>
              </w:rPr>
              <w:t>明确报告特征根因，不仅提示阈值过严</w:t>
            </w:r>
          </w:p>
        </w:tc>
      </w:tr>
      <w:tr>
        <w:trPr>
          <w:cantSplit/>
        </w:trPr>
        <w:tc>
          <w:tcPr>
            <w:tcW w:type="dxa" w:w="417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7"/>
              </w:rPr>
              <w:t>用户修改阈值未重算</w:t>
            </w:r>
          </w:p>
        </w:tc>
        <w:tc>
          <w:tcPr>
            <w:tcW w:type="dxa" w:w="5184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7"/>
              </w:rPr>
              <w:t>运行按钮禁用，要求重新试算</w:t>
            </w:r>
          </w:p>
        </w:tc>
      </w:tr>
      <w:tr>
        <w:trPr>
          <w:cantSplit/>
        </w:trPr>
        <w:tc>
          <w:tcPr>
            <w:tcW w:type="dxa" w:w="4176"/>
            <w:vAlign w:val="center"/>
            <w:shd w:fill="F5F8FA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7"/>
              </w:rPr>
              <w:t>运行 ETA 上游持续返回 0</w:t>
            </w:r>
          </w:p>
        </w:tc>
        <w:tc>
          <w:tcPr>
            <w:tcW w:type="dxa" w:w="5184"/>
            <w:vAlign w:val="center"/>
            <w:shd w:fill="F5F8FA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7"/>
              </w:rPr>
              <w:t>前端忽略无效零值，按观测进度平滑估算</w:t>
            </w:r>
          </w:p>
        </w:tc>
      </w:tr>
      <w:tr>
        <w:trPr>
          <w:cantSplit/>
        </w:trPr>
        <w:tc>
          <w:tcPr>
            <w:tcW w:type="dxa" w:w="4176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7"/>
              </w:rPr>
              <w:t>最终存在重复窄列或主导走廊</w:t>
            </w:r>
          </w:p>
        </w:tc>
        <w:tc>
          <w:tcPr>
            <w:tcW w:type="dxa" w:w="5184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7"/>
              </w:rPr>
              <w:t>触发发布门，成果不可发布</w:t>
            </w:r>
          </w:p>
        </w:tc>
      </w:tr>
    </w:tbl>
    <w:p>
      <w:pPr>
        <w:spacing w:after="20"/>
      </w:pPr>
    </w:p>
    <w:p>
      <w:pPr>
        <w:pStyle w:val="Heading1"/>
      </w:pPr>
      <w:bookmarkStart w:id="27" w:name="v5_heading_027"/>
      <w:r>
        <w:rPr>
          <w:rFonts w:ascii="Aptos" w:hAnsi="Aptos" w:eastAsia="Microsoft YaHei"/>
        </w:rPr>
        <w:t>12. 科学限制与建议</w:t>
      </w:r>
      <w:bookmarkEnd w:id="27"/>
    </w:p>
    <w:p>
      <w:pPr>
        <w:pStyle w:val="ListNumber"/>
        <w:spacing w:after="80" w:line="300" w:lineRule="auto"/>
        <w:ind w:left="540" w:hanging="271"/>
        <w:numPr>
          <w:ilvl w:val="0"/>
          <w:numId w:val="12"/>
        </w:numPr>
      </w:pPr>
      <w:r>
        <w:rPr>
          <w:rFonts w:ascii="Aptos" w:hAnsi="Aptos" w:eastAsia="Microsoft YaHei"/>
        </w:rPr>
        <w:t>FWHM 缺失时只能进行受约束插值，细微吸收中心差异的解释强度降低。</w:t>
      </w:r>
    </w:p>
    <w:p>
      <w:pPr>
        <w:pStyle w:val="ListNumber"/>
        <w:spacing w:after="80" w:line="300" w:lineRule="auto"/>
        <w:ind w:left="540" w:hanging="271"/>
        <w:numPr>
          <w:ilvl w:val="0"/>
          <w:numId w:val="12"/>
        </w:numPr>
      </w:pPr>
      <w:r>
        <w:rPr>
          <w:rFonts w:ascii="Aptos" w:hAnsi="Aptos" w:eastAsia="Microsoft YaHei"/>
        </w:rPr>
        <w:t>人工历史分类是项目级高可信弱标签，可能包含操作者阈值和空间先验，不等同于独立矿物学真值。</w:t>
      </w:r>
    </w:p>
    <w:p>
      <w:pPr>
        <w:pStyle w:val="ListNumber"/>
        <w:spacing w:after="80" w:line="300" w:lineRule="auto"/>
        <w:ind w:left="540" w:hanging="271"/>
        <w:numPr>
          <w:ilvl w:val="0"/>
          <w:numId w:val="12"/>
        </w:numPr>
      </w:pPr>
      <w:r>
        <w:rPr>
          <w:rFonts w:ascii="Aptos" w:hAnsi="Aptos" w:eastAsia="Microsoft YaHei"/>
        </w:rPr>
        <w:t>无水石膏等少数类即使不再被结构性清零，仍可能因样本稀少而召回偏低。</w:t>
      </w:r>
    </w:p>
    <w:p>
      <w:pPr>
        <w:pStyle w:val="ListNumber"/>
        <w:spacing w:after="80" w:line="300" w:lineRule="auto"/>
        <w:ind w:left="540" w:hanging="271"/>
        <w:numPr>
          <w:ilvl w:val="0"/>
          <w:numId w:val="12"/>
        </w:numPr>
      </w:pPr>
      <w:r>
        <w:rPr>
          <w:rFonts w:ascii="Aptos" w:hAnsi="Aptos" w:eastAsia="Microsoft YaHei"/>
        </w:rPr>
        <w:t>方向性空间规则只能抑制典型成像伪影，不能替代地质人员对裂隙、脉体和蚀变分带的解释。</w:t>
      </w:r>
    </w:p>
    <w:p>
      <w:pPr>
        <w:pStyle w:val="ListNumber"/>
        <w:spacing w:after="80" w:line="300" w:lineRule="auto"/>
        <w:ind w:left="540" w:hanging="271"/>
        <w:numPr>
          <w:ilvl w:val="0"/>
          <w:numId w:val="12"/>
        </w:numPr>
      </w:pPr>
      <w:r>
        <w:rPr>
          <w:rFonts w:ascii="Aptos" w:hAnsi="Aptos" w:eastAsia="Microsoft YaHei"/>
        </w:rPr>
        <w:t>对外发布数据库前应复核各源库许可状态。</w:t>
      </w:r>
    </w:p>
    <w:p>
      <w:pPr>
        <w:pStyle w:val="ListNumber"/>
        <w:spacing w:after="80" w:line="300" w:lineRule="auto"/>
        <w:ind w:left="540" w:hanging="271"/>
        <w:numPr>
          <w:ilvl w:val="0"/>
          <w:numId w:val="12"/>
        </w:numPr>
      </w:pPr>
      <w:r>
        <w:rPr>
          <w:rFonts w:ascii="Aptos" w:hAnsi="Aptos" w:eastAsia="Microsoft YaHei"/>
        </w:rPr>
        <w:t>建议在关键深度段补充 XRD、拉曼、薄片或点光谱，并以独立点位建立矿物级精度评估。</w:t>
      </w:r>
    </w:p>
    <w:p>
      <w:pPr>
        <w:pStyle w:val="Heading1"/>
      </w:pPr>
      <w:bookmarkStart w:id="28" w:name="v5_heading_028"/>
      <w:r>
        <w:rPr>
          <w:rFonts w:ascii="Aptos" w:hAnsi="Aptos" w:eastAsia="Microsoft YaHei"/>
        </w:rPr>
        <w:t>13. 稳定版配置与扩展接口</w:t>
      </w:r>
      <w:bookmarkEnd w:id="28"/>
    </w:p>
    <w:p>
      <w:pPr>
        <w:keepNext/>
      </w:pPr>
      <w:r>
        <w:rPr>
          <w:rFonts w:ascii="Aptos" w:hAnsi="Aptos" w:eastAsia="Microsoft YaHei"/>
        </w:rPr>
        <w:t xml:space="preserve">稳定版配置使用 schema version 3。用户常规操作应通过九步桌面完成；批处理可使用 </w:t>
      </w:r>
      <w:r>
        <w:rPr>
          <w:rFonts w:ascii="Cascadia Mono" w:hAnsi="Cascadia Mono" w:eastAsia="Microsoft YaHei"/>
          <w:color w:val="8A3E16"/>
          <w:sz w:val="18"/>
        </w:rPr>
        <w:t>corespec v5-audit</w:t>
      </w:r>
      <w:r>
        <w:rPr>
          <w:rFonts w:ascii="Aptos" w:hAnsi="Aptos" w:eastAsia="Microsoft YaHei"/>
        </w:rPr>
        <w:t xml:space="preserve"> 和 </w:t>
      </w:r>
      <w:r>
        <w:rPr>
          <w:rFonts w:ascii="Cascadia Mono" w:hAnsi="Cascadia Mono" w:eastAsia="Microsoft YaHei"/>
          <w:color w:val="8A3E16"/>
          <w:sz w:val="18"/>
        </w:rPr>
        <w:t>corespec v5-run</w:t>
      </w:r>
      <w:r>
        <w:rPr>
          <w:rFonts w:ascii="Aptos" w:hAnsi="Aptos" w:eastAsia="Microsoft YaHei"/>
        </w:rPr>
        <w:t>。开发扩展必须保持以下不变量：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 w:eastAsia="Microsoft YaHei"/>
        </w:rPr>
        <w:t>不降低 Catalog 安全包络；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 w:eastAsia="Microsoft YaHei"/>
        </w:rPr>
        <w:t>不绕过诊断特征门制造矿物；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 w:eastAsia="Microsoft YaHei"/>
        </w:rPr>
        <w:t>不破坏三档嵌套和跨组互斥；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 w:eastAsia="Microsoft YaHei"/>
        </w:rPr>
        <w:t>不把条带清理简化为全列删除；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 w:eastAsia="Microsoft YaHei"/>
        </w:rPr>
        <w:t>新模型和新数据库资源必须进入 Manifest 哈希；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 w:eastAsia="Microsoft YaHei"/>
        </w:rPr>
        <w:t>新矿物必须声明传感器可见窗、参考谱资格、竞争组、诊断特征和验证等级。</w:t>
      </w:r>
    </w:p>
    <w:p>
      <w:pPr>
        <w:pStyle w:val="Heading1"/>
      </w:pPr>
      <w:bookmarkStart w:id="29" w:name="v5_heading_029"/>
      <w:r>
        <w:rPr>
          <w:rFonts w:ascii="Aptos" w:hAnsi="Aptos" w:eastAsia="Microsoft YaHei"/>
        </w:rPr>
        <w:t>14. 稳定版验收结论</w:t>
      </w:r>
      <w:bookmarkEnd w:id="29"/>
    </w:p>
    <w:p>
      <w:r>
        <w:rPr>
          <w:rFonts w:ascii="Aptos" w:hAnsi="Aptos" w:eastAsia="Microsoft YaHei"/>
        </w:rPr>
        <w:t>V5.3.0 Stable 已形成从输入审计、智能掩膜、传感器适配标准谱、宽 SAM 候选、严 SFF/特征/竞争、三档阈值、V14 条带终检到发布质量门的完整闭环。NC-1 全景回归中七类矿物均产生非零证据，三档差异保持可解释，最终重复窄列和主导走廊指标清零。该版本可作为首个 V5.3 稳定发布基线，并继续通过独立矿物学真值迭代项目校准参数。</w:t>
      </w:r>
    </w:p>
    <w:p>
      <w:r>
        <w:br w:type="page"/>
      </w:r>
    </w:p>
    <w:p>
      <w:pPr>
        <w:pStyle w:val="Heading1"/>
      </w:pPr>
      <w:r>
        <w:t>附录 A  NC-1 V14 全景分类复核图</w:t>
      </w:r>
    </w:p>
    <w:p>
      <w:pPr>
        <w:pStyle w:val="DocumentNote"/>
      </w:pPr>
      <w:r>
        <w:rPr>
          <w:rFonts w:ascii="Aptos" w:hAnsi="Aptos" w:eastAsia="Microsoft YaHei"/>
        </w:rPr>
        <w:t>图像为 5,446 行全深度压缩概览，用于比较三档数量差异、空间连续性和重复列风险；像元级结论以 ENVI 栅格、质量报告和 run_manifest.json 为准。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259155" cy="6408000"/>
            <wp:docPr id="2" name="Picture 2" descr="图 A-1  NC-1 V14 平衡档：默认地质解释基线" title="图 A-1  NC-1 V14 平衡档：默认地质解释基线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ison_balanc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59155" cy="640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ptos" w:hAnsi="Aptos" w:eastAsia="Microsoft YaHei"/>
          <w:i/>
          <w:color w:val="526273"/>
          <w:sz w:val="17"/>
        </w:rPr>
        <w:t>图 A-1  NC-1 V14 平衡档：默认地质解释基线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259155" cy="6408000"/>
            <wp:docPr id="3" name="Picture 3" descr="图 A-2  NC-1 V14 敏感档：找漏与边界检查" title="图 A-2  NC-1 V14 敏感档：找漏与边界检查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ison_sensitiv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59155" cy="640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ptos" w:hAnsi="Aptos" w:eastAsia="Microsoft YaHei"/>
          <w:i/>
          <w:color w:val="526273"/>
          <w:sz w:val="17"/>
        </w:rPr>
        <w:t>图 A-2  NC-1 V14 敏感档：找漏与边界检查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Microsoft YaHei"/>
        <w:color w:val="718399"/>
        <w:sz w:val="17"/>
      </w:rPr>
      <w:t xml:space="preserve">CoreSpec Mapper V5.3 Stable   | 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 w:eastAsia="Microsoft YaHei"/>
        <w:color w:val="718399"/>
        <w:sz w:val="17"/>
      </w:rPr>
      <w:t>CoreSpec Mapper V5.3 Stable  ·  发布文档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before="0" w:after="120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80"/>
      <w:outlineLvl w:val="3"/>
    </w:pPr>
    <w:rPr>
      <w:rFonts w:asciiTheme="majorHAnsi" w:eastAsiaTheme="majorEastAsia" w:hAnsiTheme="majorHAnsi" w:cstheme="majorBidi" w:ascii="Calibri" w:hAnsi="Calibri" w:eastAsia="Microsoft YaHei"/>
      <w:b/>
      <w:bCs/>
      <w:i/>
      <w:iCs/>
      <w:color w:val="1F4D78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20"/>
      <w:ind w:left="255" w:right="113"/>
    </w:pPr>
    <w:rPr>
      <w:rFonts w:ascii="Cascadia Mono" w:hAnsi="Cascadia Mono" w:eastAsia="Microsoft YaHei"/>
      <w:sz w:val="17"/>
    </w:rPr>
  </w:style>
  <w:style w:type="paragraph" w:customStyle="1" w:styleId="DocumentNote">
    <w:name w:val="Document Note"/>
    <w:pPr>
      <w:spacing w:after="120"/>
      <w:ind w:left="198"/>
    </w:pPr>
    <w:rPr>
      <w:rFonts w:ascii="Calibri" w:hAnsi="Calibri" w:eastAsia="Microsoft YaHei"/>
      <w:color w:val="566B7C"/>
      <w:sz w:val="18"/>
    </w:rPr>
  </w:style>
  <w:style w:type="paragraph" w:customStyle="1" w:styleId="StaticTOC1">
    <w:name w:val="Static TOC 1"/>
    <w:pPr>
      <w:keepNext w:val="0"/>
      <w:spacing w:line="240" w:lineRule="auto" w:before="0" w:after="10"/>
      <w:ind w:left="0"/>
    </w:pPr>
    <w:rPr>
      <w:rFonts w:ascii="Calibri" w:hAnsi="Calibri" w:eastAsia="Microsoft YaHei"/>
      <w:color w:val="153B5C"/>
      <w:sz w:val="15"/>
    </w:rPr>
  </w:style>
  <w:style w:type="paragraph" w:customStyle="1" w:styleId="StaticTOC2">
    <w:name w:val="Static TOC 2"/>
    <w:pPr>
      <w:keepNext w:val="0"/>
      <w:spacing w:line="240" w:lineRule="auto" w:before="0" w:after="10"/>
      <w:ind w:left="283"/>
    </w:pPr>
    <w:rPr>
      <w:rFonts w:ascii="Calibri" w:hAnsi="Calibri" w:eastAsia="Microsoft YaHei"/>
      <w:color w:val="2C6D90"/>
      <w:sz w:val="14"/>
    </w:rPr>
  </w:style>
  <w:style w:type="paragraph" w:customStyle="1" w:styleId="StaticTOC3">
    <w:name w:val="Static TOC 3"/>
    <w:pPr>
      <w:keepNext w:val="0"/>
      <w:spacing w:line="240" w:lineRule="auto" w:before="0" w:after="10"/>
      <w:ind w:left="567"/>
    </w:pPr>
    <w:rPr>
      <w:rFonts w:ascii="Calibri" w:hAnsi="Calibri" w:eastAsia="Microsoft YaHei"/>
      <w:color w:val="526273"/>
      <w:sz w:val="14"/>
    </w:rPr>
  </w:style>
  <w:style w:type="paragraph" w:customStyle="1" w:styleId="StaticTOC4">
    <w:name w:val="Static TOC 4"/>
    <w:pPr>
      <w:keepNext w:val="0"/>
      <w:spacing w:line="240" w:lineRule="auto" w:before="0" w:after="10"/>
      <w:ind w:left="822"/>
    </w:pPr>
    <w:rPr>
      <w:rFonts w:ascii="Calibri" w:hAnsi="Calibri" w:eastAsia="Microsoft YaHei"/>
      <w:color w:val="607487"/>
      <w:sz w:val="13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CoreSpec Mapper V5.3 稳定版技术方法与系统设计</dc:title>
  <dc:subject>CoreSpec Mapper V5.3 Stable technical method and user documentation</dc:subject>
  <dc:creator>CoreSpec Mapper V5.3 Project</dc:creator>
  <cp:keywords>hyperspectral, drill core, mineral mapping, V5.3, NC-1, stripe suppression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