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 w:eastAsia="Microsoft YaHei"/>
          <w:sz w:val="36"/>
        </w:rPr>
        <w:t>前端全面重设计开发进度日志</w:t>
      </w:r>
    </w:p>
    <w:p>
      <w:pPr>
        <w:spacing w:after="120"/>
      </w:pPr>
      <w:r>
        <w:rPr>
          <w:rFonts w:ascii="Arial" w:hAnsi="Arial" w:eastAsia="Microsoft YaHei"/>
          <w:sz w:val="21"/>
        </w:rPr>
        <w:t xml:space="preserve">更新日期：2026-06-15  </w:t>
      </w:r>
    </w:p>
    <w:p>
      <w:pPr>
        <w:spacing w:after="120"/>
      </w:pPr>
      <w:r>
        <w:rPr>
          <w:rFonts w:ascii="Arial" w:hAnsi="Arial" w:eastAsia="Microsoft YaHei"/>
          <w:sz w:val="21"/>
        </w:rPr>
        <w:t xml:space="preserve">适用范围：中亚胡杨林生态系统保护数据共享平台前端界面重设计  </w:t>
      </w:r>
    </w:p>
    <w:p>
      <w:pPr>
        <w:spacing w:after="120"/>
      </w:pPr>
      <w:r>
        <w:rPr>
          <w:rFonts w:ascii="Arial" w:hAnsi="Arial" w:eastAsia="Microsoft YaHei"/>
          <w:sz w:val="21"/>
        </w:rPr>
        <w:t xml:space="preserve">当前状态：规划中  </w:t>
      </w:r>
    </w:p>
    <w:p>
      <w:pPr>
        <w:spacing w:after="120"/>
      </w:pPr>
      <w:r>
        <w:rPr>
          <w:rFonts w:ascii="Arial" w:hAnsi="Arial" w:eastAsia="Microsoft YaHei"/>
          <w:sz w:val="21"/>
        </w:rPr>
        <w:t>代码边界：本轮日志只约束前端与接口文档协作，不修改后端代码。</w:t>
      </w:r>
    </w:p>
    <w:p>
      <w:pPr>
        <w:pStyle w:val="Heading2"/>
      </w:pPr>
      <w:r>
        <w:rPr>
          <w:rFonts w:ascii="Arial" w:hAnsi="Arial" w:eastAsia="Microsoft YaHei"/>
          <w:sz w:val="28"/>
        </w:rPr>
        <w:t>1. 日志目标</w:t>
      </w:r>
    </w:p>
    <w:p>
      <w:pPr>
        <w:spacing w:after="120"/>
      </w:pPr>
      <w:r>
        <w:rPr>
          <w:rFonts w:ascii="Arial" w:hAnsi="Arial" w:eastAsia="Microsoft YaHei"/>
          <w:sz w:val="21"/>
        </w:rPr>
        <w:t>本文档用于在正式大规模调整前，先把前端界面数量、页面关系、功能边界、API 依赖和开发顺序梳理清楚，作为后续逐项开发、验收和与后端工程师协作的进度对照表。</w:t>
      </w:r>
    </w:p>
    <w:p>
      <w:pPr>
        <w:spacing w:after="120"/>
      </w:pPr>
      <w:r>
        <w:rPr>
          <w:rFonts w:ascii="Arial" w:hAnsi="Arial" w:eastAsia="Microsoft YaHei"/>
          <w:sz w:val="21"/>
        </w:rPr>
        <w:t>本日志依据以下既有资料整理：</w:t>
      </w:r>
    </w:p>
    <w:p>
      <w:pPr>
        <w:pStyle w:val="ListNumber"/>
      </w:pPr>
      <w:r>
        <w:rPr>
          <w:rFonts w:ascii="Arial" w:hAnsi="Arial" w:eastAsia="Microsoft YaHei"/>
          <w:sz w:val="20"/>
        </w:rPr>
        <w:t>[design-docs.md](./design-docs.md)：平台总体功能与架构边界。</w:t>
      </w:r>
    </w:p>
    <w:p>
      <w:pPr>
        <w:pStyle w:val="ListNumber"/>
      </w:pPr>
      <w:r>
        <w:rPr>
          <w:rFonts w:ascii="Arial" w:hAnsi="Arial" w:eastAsia="Microsoft YaHei"/>
          <w:sz w:val="20"/>
        </w:rPr>
        <w:t>[frontend-ui-redesign-proposal.md](./frontend-ui-redesign-proposal.md)：前端视觉与工作台深化方案。</w:t>
      </w:r>
    </w:p>
    <w:p>
      <w:pPr>
        <w:pStyle w:val="ListNumber"/>
      </w:pPr>
      <w:r>
        <w:rPr>
          <w:rFonts w:ascii="Arial" w:hAnsi="Arial" w:eastAsia="Microsoft YaHei"/>
          <w:sz w:val="20"/>
        </w:rPr>
        <w:t>[developer-guide.md](./developer-guide.md)：现有接口使用方式与权限说明。</w:t>
      </w:r>
    </w:p>
    <w:p>
      <w:pPr>
        <w:pStyle w:val="ListNumber"/>
      </w:pPr>
      <w:r>
        <w:rPr>
          <w:rFonts w:ascii="Arial" w:hAnsi="Arial" w:eastAsia="Microsoft YaHei"/>
          <w:sz w:val="20"/>
        </w:rPr>
        <w:t>[openapi.yaml](./openapi.yaml)：当前权威 API 契约。</w:t>
      </w:r>
    </w:p>
    <w:p>
      <w:pPr>
        <w:pStyle w:val="ListNumber"/>
      </w:pPr>
      <w:r>
        <w:rPr>
          <w:rFonts w:ascii="Arial" w:hAnsi="Arial" w:eastAsia="Microsoft YaHei"/>
          <w:sz w:val="20"/>
        </w:rPr>
        <w:t>当前前端路由：</w:t>
      </w:r>
      <w:r>
        <w:rPr>
          <w:rFonts w:ascii="Consolas" w:hAnsi="Consolas" w:eastAsia="Consolas"/>
          <w:sz w:val="20"/>
        </w:rPr>
        <w:t>frontend/src/App.tsx</w:t>
      </w:r>
      <w:r>
        <w:rPr>
          <w:rFonts w:ascii="Arial" w:hAnsi="Arial" w:eastAsia="Microsoft YaHei"/>
          <w:sz w:val="20"/>
        </w:rPr>
        <w:t>、</w:t>
      </w:r>
      <w:r>
        <w:rPr>
          <w:rFonts w:ascii="Consolas" w:hAnsi="Consolas" w:eastAsia="Consolas"/>
          <w:sz w:val="20"/>
        </w:rPr>
        <w:t>frontend/src/router.tsx</w:t>
      </w:r>
      <w:r>
        <w:rPr>
          <w:rFonts w:ascii="Arial" w:hAnsi="Arial" w:eastAsia="Microsoft YaHei"/>
          <w:sz w:val="20"/>
        </w:rPr>
        <w:t>。</w:t>
      </w:r>
    </w:p>
    <w:p>
      <w:pPr>
        <w:pStyle w:val="ListNumber"/>
      </w:pPr>
      <w:r>
        <w:rPr>
          <w:rFonts w:ascii="Arial" w:hAnsi="Arial" w:eastAsia="Microsoft YaHei"/>
          <w:sz w:val="20"/>
        </w:rPr>
        <w:t xml:space="preserve">视觉参考：国家遥感数据与应用服务平台 </w:t>
      </w:r>
      <w:r>
        <w:rPr>
          <w:rFonts w:ascii="Consolas" w:hAnsi="Consolas" w:eastAsia="Consolas"/>
          <w:sz w:val="20"/>
        </w:rPr>
        <w:t>https://www.cpeos.org.cn/dataSearch3D/#/standardProduct</w:t>
      </w:r>
      <w:r>
        <w:rPr>
          <w:rFonts w:ascii="Arial" w:hAnsi="Arial" w:eastAsia="Microsoft YaHei"/>
          <w:sz w:val="20"/>
        </w:rPr>
        <w:t>。</w:t>
      </w:r>
    </w:p>
    <w:p>
      <w:pPr>
        <w:spacing w:after="120"/>
      </w:pPr>
      <w:r>
        <w:rPr>
          <w:rFonts w:ascii="Arial" w:hAnsi="Arial" w:eastAsia="Microsoft YaHei"/>
          <w:sz w:val="21"/>
        </w:rPr>
        <w:t>视觉参考只借鉴其信息组织、组件形态和空间布局关系，不复用对方品牌、图标、素材、源代码或专有数据。</w:t>
      </w:r>
    </w:p>
    <w:p>
      <w:pPr>
        <w:pStyle w:val="Heading2"/>
      </w:pPr>
      <w:r>
        <w:rPr>
          <w:rFonts w:ascii="Arial" w:hAnsi="Arial" w:eastAsia="Microsoft YaHei"/>
          <w:sz w:val="28"/>
        </w:rPr>
        <w:t>2. 核心结论</w:t>
      </w:r>
    </w:p>
    <w:p>
      <w:pPr>
        <w:spacing w:after="120"/>
      </w:pPr>
      <w:r>
        <w:rPr>
          <w:rFonts w:ascii="Arial" w:hAnsi="Arial" w:eastAsia="Microsoft YaHei"/>
          <w:sz w:val="21"/>
        </w:rPr>
        <w:t>本轮前端重设计建议按“12 个可路由页面 + 1 个主界面大型弹层”组织开发，因此实际需要纳入验收的前端界面共 13 个。</w:t>
      </w:r>
    </w:p>
    <w:p>
      <w:pPr>
        <w:spacing w:after="120"/>
      </w:pPr>
      <w:r>
        <w:rPr>
          <w:rFonts w:ascii="Arial" w:hAnsi="Arial" w:eastAsia="Microsoft YaHei"/>
          <w:sz w:val="21"/>
        </w:rPr>
        <w:t xml:space="preserve">如果只按浏览器 URL 页面统计，则是 12 个页面；如果按用户实际看到和操作的独立界面统计，则应把 </w:t>
      </w:r>
      <w:r>
        <w:rPr>
          <w:rFonts w:ascii="Consolas" w:hAnsi="Consolas" w:eastAsia="Consolas"/>
          <w:sz w:val="21"/>
        </w:rPr>
        <w:t>/map</w:t>
      </w:r>
      <w:r>
        <w:rPr>
          <w:rFonts w:ascii="Arial" w:hAnsi="Arial" w:eastAsia="Microsoft YaHei"/>
          <w:sz w:val="21"/>
        </w:rPr>
        <w:t xml:space="preserve"> 内的“数据资源中心弹层”单独纳入，共 13 个界面。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13"/>
        <w:gridCol w:w="4713"/>
        <w:gridCol w:w="4713"/>
      </w:tblGrid>
      <w:tr>
        <w:tc>
          <w:tcPr>
            <w:tcW w:type="dxa" w:w="471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6"/>
              </w:rPr>
              <w:t>类型</w:t>
            </w:r>
          </w:p>
        </w:tc>
        <w:tc>
          <w:tcPr>
            <w:tcW w:type="dxa" w:w="471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6"/>
              </w:rPr>
              <w:t>数量</w:t>
            </w:r>
          </w:p>
        </w:tc>
        <w:tc>
          <w:tcPr>
            <w:tcW w:type="dxa" w:w="471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6"/>
              </w:rPr>
              <w:t>说明</w:t>
            </w:r>
          </w:p>
        </w:tc>
      </w:tr>
      <w:tr>
        <w:tc>
          <w:tcPr>
            <w:tcW w:type="dxa" w:w="471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可路由页面</w:t>
            </w:r>
          </w:p>
        </w:tc>
        <w:tc>
          <w:tcPr>
            <w:tcW w:type="dxa" w:w="471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12</w:t>
            </w:r>
          </w:p>
        </w:tc>
        <w:tc>
          <w:tcPr>
            <w:tcW w:type="dxa" w:w="471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登录、地理可视化、非地理可视化、成果目录、8 个后台页面</w:t>
            </w:r>
          </w:p>
        </w:tc>
      </w:tr>
      <w:tr>
        <w:tc>
          <w:tcPr>
            <w:tcW w:type="dxa" w:w="471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主界面大型弹层</w:t>
            </w:r>
          </w:p>
        </w:tc>
        <w:tc>
          <w:tcPr>
            <w:tcW w:type="dxa" w:w="471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1</w:t>
            </w:r>
          </w:p>
        </w:tc>
        <w:tc>
          <w:tcPr>
            <w:tcW w:type="dxa" w:w="471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数据资源中心，属于 `/map` 内的高复杂度业务界面</w:t>
            </w:r>
          </w:p>
        </w:tc>
      </w:tr>
      <w:tr>
        <w:tc>
          <w:tcPr>
            <w:tcW w:type="dxa" w:w="471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重定向路由</w:t>
            </w:r>
          </w:p>
        </w:tc>
        <w:tc>
          <w:tcPr>
            <w:tcW w:type="dxa" w:w="471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3</w:t>
            </w:r>
          </w:p>
        </w:tc>
        <w:tc>
          <w:tcPr>
            <w:tcW w:type="dxa" w:w="471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`/`、`/admin`、`/admin/auth` 只负责跳转，不算独立界面</w:t>
            </w:r>
          </w:p>
        </w:tc>
      </w:tr>
      <w:tr>
        <w:tc>
          <w:tcPr>
            <w:tcW w:type="dxa" w:w="471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主界面常驻工作区</w:t>
            </w:r>
          </w:p>
        </w:tc>
        <w:tc>
          <w:tcPr>
            <w:tcW w:type="dxa" w:w="471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5</w:t>
            </w:r>
          </w:p>
        </w:tc>
        <w:tc>
          <w:tcPr>
            <w:tcW w:type="dxa" w:w="471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顶部导航、中央地图、左侧栏、右侧栏、底部栏，作为 `/map` 的组成模块开发</w:t>
            </w:r>
          </w:p>
        </w:tc>
      </w:tr>
    </w:tbl>
    <w:p/>
    <w:p>
      <w:pPr>
        <w:spacing w:after="120"/>
      </w:pPr>
      <w:r>
        <w:rPr>
          <w:rFonts w:ascii="Arial" w:hAnsi="Arial" w:eastAsia="Microsoft YaHei"/>
          <w:sz w:val="21"/>
        </w:rPr>
        <w:t>目标界面清单如下：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6"/>
              </w:rPr>
              <w:t>编号</w:t>
            </w:r>
          </w:p>
        </w:tc>
        <w:tc>
          <w:tcPr>
            <w:tcW w:type="dxa" w:w="3535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6"/>
              </w:rPr>
              <w:t>界面</w:t>
            </w:r>
          </w:p>
        </w:tc>
        <w:tc>
          <w:tcPr>
            <w:tcW w:type="dxa" w:w="3535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6"/>
              </w:rPr>
              <w:t>路由或入口</w:t>
            </w:r>
          </w:p>
        </w:tc>
        <w:tc>
          <w:tcPr>
            <w:tcW w:type="dxa" w:w="3535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6"/>
              </w:rPr>
              <w:t>统计口径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F01</w:t>
            </w:r>
          </w:p>
        </w:tc>
        <w:tc>
          <w:tcPr>
            <w:tcW w:type="dxa" w:w="353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统一登录页</w:t>
            </w:r>
          </w:p>
        </w:tc>
        <w:tc>
          <w:tcPr>
            <w:tcW w:type="dxa" w:w="353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`/login`</w:t>
            </w:r>
          </w:p>
        </w:tc>
        <w:tc>
          <w:tcPr>
            <w:tcW w:type="dxa" w:w="353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可路由页面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F02</w:t>
            </w:r>
          </w:p>
        </w:tc>
        <w:tc>
          <w:tcPr>
            <w:tcW w:type="dxa" w:w="353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三维地球主界面 / 地理可视化</w:t>
            </w:r>
          </w:p>
        </w:tc>
        <w:tc>
          <w:tcPr>
            <w:tcW w:type="dxa" w:w="353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`/map`</w:t>
            </w:r>
          </w:p>
        </w:tc>
        <w:tc>
          <w:tcPr>
            <w:tcW w:type="dxa" w:w="353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可路由页面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F03</w:t>
            </w:r>
          </w:p>
        </w:tc>
        <w:tc>
          <w:tcPr>
            <w:tcW w:type="dxa" w:w="353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数据资源中心</w:t>
            </w:r>
          </w:p>
        </w:tc>
        <w:tc>
          <w:tcPr>
            <w:tcW w:type="dxa" w:w="353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`/map` 内弹层</w:t>
            </w:r>
          </w:p>
        </w:tc>
        <w:tc>
          <w:tcPr>
            <w:tcW w:type="dxa" w:w="353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主界面大型弹层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F04</w:t>
            </w:r>
          </w:p>
        </w:tc>
        <w:tc>
          <w:tcPr>
            <w:tcW w:type="dxa" w:w="353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非地理可视化</w:t>
            </w:r>
          </w:p>
        </w:tc>
        <w:tc>
          <w:tcPr>
            <w:tcW w:type="dxa" w:w="353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`/nongeo`</w:t>
            </w:r>
          </w:p>
        </w:tc>
        <w:tc>
          <w:tcPr>
            <w:tcW w:type="dxa" w:w="353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可路由页面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F05</w:t>
            </w:r>
          </w:p>
        </w:tc>
        <w:tc>
          <w:tcPr>
            <w:tcW w:type="dxa" w:w="353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成果目录</w:t>
            </w:r>
          </w:p>
        </w:tc>
        <w:tc>
          <w:tcPr>
            <w:tcW w:type="dxa" w:w="353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建议新增 `/achievements`</w:t>
            </w:r>
          </w:p>
        </w:tc>
        <w:tc>
          <w:tcPr>
            <w:tcW w:type="dxa" w:w="353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可路由页面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F06</w:t>
            </w:r>
          </w:p>
        </w:tc>
        <w:tc>
          <w:tcPr>
            <w:tcW w:type="dxa" w:w="353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后台 Dashboard</w:t>
            </w:r>
          </w:p>
        </w:tc>
        <w:tc>
          <w:tcPr>
            <w:tcW w:type="dxa" w:w="353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`/admin/dashboard`</w:t>
            </w:r>
          </w:p>
        </w:tc>
        <w:tc>
          <w:tcPr>
            <w:tcW w:type="dxa" w:w="353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可路由页面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F07</w:t>
            </w:r>
          </w:p>
        </w:tc>
        <w:tc>
          <w:tcPr>
            <w:tcW w:type="dxa" w:w="353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用户设置 / 个人中心</w:t>
            </w:r>
          </w:p>
        </w:tc>
        <w:tc>
          <w:tcPr>
            <w:tcW w:type="dxa" w:w="353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`/admin/profile`</w:t>
            </w:r>
          </w:p>
        </w:tc>
        <w:tc>
          <w:tcPr>
            <w:tcW w:type="dxa" w:w="353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可路由页面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F08</w:t>
            </w:r>
          </w:p>
        </w:tc>
        <w:tc>
          <w:tcPr>
            <w:tcW w:type="dxa" w:w="353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操作日志</w:t>
            </w:r>
          </w:p>
        </w:tc>
        <w:tc>
          <w:tcPr>
            <w:tcW w:type="dxa" w:w="353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`/admin/logs`</w:t>
            </w:r>
          </w:p>
        </w:tc>
        <w:tc>
          <w:tcPr>
            <w:tcW w:type="dxa" w:w="353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可路由页面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F09</w:t>
            </w:r>
          </w:p>
        </w:tc>
        <w:tc>
          <w:tcPr>
            <w:tcW w:type="dxa" w:w="353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系统设置</w:t>
            </w:r>
          </w:p>
        </w:tc>
        <w:tc>
          <w:tcPr>
            <w:tcW w:type="dxa" w:w="353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`/admin/settings`</w:t>
            </w:r>
          </w:p>
        </w:tc>
        <w:tc>
          <w:tcPr>
            <w:tcW w:type="dxa" w:w="353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可路由页面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F10</w:t>
            </w:r>
          </w:p>
        </w:tc>
        <w:tc>
          <w:tcPr>
            <w:tcW w:type="dxa" w:w="353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存量数据管理</w:t>
            </w:r>
          </w:p>
        </w:tc>
        <w:tc>
          <w:tcPr>
            <w:tcW w:type="dxa" w:w="353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`/admin/data/inventory`</w:t>
            </w:r>
          </w:p>
        </w:tc>
        <w:tc>
          <w:tcPr>
            <w:tcW w:type="dxa" w:w="353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可路由页面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F11</w:t>
            </w:r>
          </w:p>
        </w:tc>
        <w:tc>
          <w:tcPr>
            <w:tcW w:type="dxa" w:w="353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数据导入</w:t>
            </w:r>
          </w:p>
        </w:tc>
        <w:tc>
          <w:tcPr>
            <w:tcW w:type="dxa" w:w="353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`/admin/data/import`</w:t>
            </w:r>
          </w:p>
        </w:tc>
        <w:tc>
          <w:tcPr>
            <w:tcW w:type="dxa" w:w="353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可路由页面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F12</w:t>
            </w:r>
          </w:p>
        </w:tc>
        <w:tc>
          <w:tcPr>
            <w:tcW w:type="dxa" w:w="353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用户管理</w:t>
            </w:r>
          </w:p>
        </w:tc>
        <w:tc>
          <w:tcPr>
            <w:tcW w:type="dxa" w:w="353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`/admin/auth/users`</w:t>
            </w:r>
          </w:p>
        </w:tc>
        <w:tc>
          <w:tcPr>
            <w:tcW w:type="dxa" w:w="353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可路由页面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F13</w:t>
            </w:r>
          </w:p>
        </w:tc>
        <w:tc>
          <w:tcPr>
            <w:tcW w:type="dxa" w:w="353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用户组权限</w:t>
            </w:r>
          </w:p>
        </w:tc>
        <w:tc>
          <w:tcPr>
            <w:tcW w:type="dxa" w:w="353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`/admin/auth/groups`</w:t>
            </w:r>
          </w:p>
        </w:tc>
        <w:tc>
          <w:tcPr>
            <w:tcW w:type="dxa" w:w="353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可路由页面</w:t>
            </w:r>
          </w:p>
        </w:tc>
      </w:tr>
    </w:tbl>
    <w:p/>
    <w:p>
      <w:pPr>
        <w:pStyle w:val="Heading2"/>
      </w:pPr>
      <w:r>
        <w:rPr>
          <w:rFonts w:ascii="Arial" w:hAnsi="Arial" w:eastAsia="Microsoft YaHei"/>
          <w:sz w:val="28"/>
        </w:rPr>
        <w:t>3. 页面连接关系</w:t>
      </w:r>
    </w:p>
    <w:p>
      <w:pPr>
        <w:spacing w:after="120"/>
        <w:ind w:left="227"/>
      </w:pPr>
      <w:r>
        <w:rPr>
          <w:rFonts w:ascii="Consolas" w:hAnsi="Consolas" w:eastAsia="Consolas"/>
          <w:sz w:val="17"/>
        </w:rPr>
        <w:t>flowchart TD</w:t>
        <w:br/>
        <w:t xml:space="preserve">  A["未登录访问系统"] --&gt; B["F01 统一登录页 /login"]</w:t>
        <w:br/>
        <w:t xml:space="preserve">  B --&gt; C["F02 三维地球主界面 /map"]</w:t>
        <w:br/>
        <w:t xml:space="preserve">  C --&gt; D["F03 数据资源中心弹层"]</w:t>
        <w:br/>
        <w:t xml:space="preserve">  C --&gt; E["左侧栏：数据 / 图层 / 专题"]</w:t>
        <w:br/>
        <w:t xml:space="preserve">  C --&gt; F["底部栏：空间查询 / 结果 / 时间 / 图例"]</w:t>
        <w:br/>
        <w:t xml:space="preserve">  C --&gt; G["右侧栏：概览 / 要素 / 监测"]</w:t>
        <w:br/>
        <w:t xml:space="preserve">  C --&gt; H["F04 非地理可视化 /nongeo"]</w:t>
        <w:br/>
        <w:t xml:space="preserve">  C --&gt; I["F05 成果目录 /achievements"]</w:t>
        <w:br/>
        <w:t xml:space="preserve">  C --&gt; J["F06 后台 Dashboard /admin/dashboard"]</w:t>
        <w:br/>
        <w:t xml:space="preserve">  H --&gt; C</w:t>
        <w:br/>
        <w:t xml:space="preserve">  I --&gt; C</w:t>
        <w:br/>
        <w:t xml:space="preserve">  J --&gt; K["F07 用户设置 /admin/profile"]</w:t>
        <w:br/>
        <w:t xml:space="preserve">  J --&gt; L["F08 操作日志 /admin/logs"]</w:t>
        <w:br/>
        <w:t xml:space="preserve">  J --&gt; M["F09 系统设置 /admin/settings"]</w:t>
        <w:br/>
        <w:t xml:space="preserve">  J --&gt; N["F10 存量数据管理 /admin/data/inventory"]</w:t>
        <w:br/>
        <w:t xml:space="preserve">  J --&gt; O["F11 数据导入 /admin/data/import"]</w:t>
        <w:br/>
        <w:t xml:space="preserve">  J --&gt; P["F12 用户管理 /admin/auth/users"]</w:t>
        <w:br/>
        <w:t xml:space="preserve">  J --&gt; Q["F13 用户组权限 /admin/auth/groups"]</w:t>
        <w:br/>
        <w:t xml:space="preserve">  K --&gt; C</w:t>
        <w:br/>
        <w:t xml:space="preserve">  L --&gt; C</w:t>
        <w:br/>
        <w:t xml:space="preserve">  M --&gt; C</w:t>
        <w:br/>
        <w:t xml:space="preserve">  N --&gt; C</w:t>
        <w:br/>
        <w:t xml:space="preserve">  O --&gt; C</w:t>
        <w:br/>
        <w:t xml:space="preserve">  P --&gt; C</w:t>
        <w:br/>
        <w:t xml:space="preserve">  Q --&gt; C</w:t>
      </w:r>
    </w:p>
    <w:p>
      <w:pPr>
        <w:spacing w:after="120"/>
      </w:pPr>
      <w:r>
        <w:rPr>
          <w:rFonts w:ascii="Arial" w:hAnsi="Arial" w:eastAsia="Microsoft YaHei"/>
          <w:sz w:val="21"/>
        </w:rPr>
        <w:t>连接规则：</w:t>
      </w:r>
    </w:p>
    <w:p>
      <w:pPr>
        <w:pStyle w:val="ListNumber"/>
      </w:pPr>
      <w:r>
        <w:rPr>
          <w:rFonts w:ascii="Arial" w:hAnsi="Arial" w:eastAsia="Microsoft YaHei"/>
          <w:sz w:val="20"/>
        </w:rPr>
        <w:t xml:space="preserve">未登录用户访问任何受保护页面时进入 </w:t>
      </w:r>
      <w:r>
        <w:rPr>
          <w:rFonts w:ascii="Consolas" w:hAnsi="Consolas" w:eastAsia="Consolas"/>
          <w:sz w:val="20"/>
        </w:rPr>
        <w:t>/login</w:t>
      </w:r>
      <w:r>
        <w:rPr>
          <w:rFonts w:ascii="Arial" w:hAnsi="Arial" w:eastAsia="Microsoft YaHei"/>
          <w:sz w:val="20"/>
        </w:rPr>
        <w:t>。</w:t>
      </w:r>
    </w:p>
    <w:p>
      <w:pPr>
        <w:pStyle w:val="ListNumber"/>
      </w:pPr>
      <w:r>
        <w:rPr>
          <w:rFonts w:ascii="Arial" w:hAnsi="Arial" w:eastAsia="Microsoft YaHei"/>
          <w:sz w:val="20"/>
        </w:rPr>
        <w:t xml:space="preserve">登录成功后默认进入 </w:t>
      </w:r>
      <w:r>
        <w:rPr>
          <w:rFonts w:ascii="Consolas" w:hAnsi="Consolas" w:eastAsia="Consolas"/>
          <w:sz w:val="20"/>
        </w:rPr>
        <w:t>/map</w:t>
      </w:r>
      <w:r>
        <w:rPr>
          <w:rFonts w:ascii="Arial" w:hAnsi="Arial" w:eastAsia="Microsoft YaHei"/>
          <w:sz w:val="20"/>
        </w:rPr>
        <w:t>，</w:t>
      </w:r>
      <w:r>
        <w:rPr>
          <w:rFonts w:ascii="Consolas" w:hAnsi="Consolas" w:eastAsia="Consolas"/>
          <w:sz w:val="20"/>
        </w:rPr>
        <w:t>/</w:t>
      </w:r>
      <w:r>
        <w:rPr>
          <w:rFonts w:ascii="Arial" w:hAnsi="Arial" w:eastAsia="Microsoft YaHei"/>
          <w:sz w:val="20"/>
        </w:rPr>
        <w:t xml:space="preserve"> 继续重定向到 </w:t>
      </w:r>
      <w:r>
        <w:rPr>
          <w:rFonts w:ascii="Consolas" w:hAnsi="Consolas" w:eastAsia="Consolas"/>
          <w:sz w:val="20"/>
        </w:rPr>
        <w:t>/map</w:t>
      </w:r>
      <w:r>
        <w:rPr>
          <w:rFonts w:ascii="Arial" w:hAnsi="Arial" w:eastAsia="Microsoft YaHei"/>
          <w:sz w:val="20"/>
        </w:rPr>
        <w:t>。</w:t>
      </w:r>
    </w:p>
    <w:p>
      <w:pPr>
        <w:pStyle w:val="ListNumber"/>
      </w:pPr>
      <w:r>
        <w:rPr>
          <w:rFonts w:ascii="Consolas" w:hAnsi="Consolas" w:eastAsia="Consolas"/>
          <w:sz w:val="20"/>
        </w:rPr>
        <w:t>/map</w:t>
      </w:r>
      <w:r>
        <w:rPr>
          <w:rFonts w:ascii="Arial" w:hAnsi="Arial" w:eastAsia="Microsoft YaHei"/>
          <w:sz w:val="20"/>
        </w:rPr>
        <w:t xml:space="preserve"> 是主工作台，非地理可视化、成果目录、管理后台都从顶部导航进入。</w:t>
      </w:r>
    </w:p>
    <w:p>
      <w:pPr>
        <w:pStyle w:val="ListNumber"/>
      </w:pPr>
      <w:r>
        <w:rPr>
          <w:rFonts w:ascii="Arial" w:hAnsi="Arial" w:eastAsia="Microsoft YaHei"/>
          <w:sz w:val="20"/>
        </w:rPr>
        <w:t xml:space="preserve">管理后台入口只对具备 </w:t>
      </w:r>
      <w:r>
        <w:rPr>
          <w:rFonts w:ascii="Consolas" w:hAnsi="Consolas" w:eastAsia="Consolas"/>
          <w:sz w:val="20"/>
        </w:rPr>
        <w:t>core.access_admin</w:t>
      </w:r>
      <w:r>
        <w:rPr>
          <w:rFonts w:ascii="Arial" w:hAnsi="Arial" w:eastAsia="Microsoft YaHei"/>
          <w:sz w:val="20"/>
        </w:rPr>
        <w:t xml:space="preserve"> 权限的用户显示。</w:t>
      </w:r>
    </w:p>
    <w:p>
      <w:pPr>
        <w:pStyle w:val="ListNumber"/>
      </w:pPr>
      <w:r>
        <w:rPr>
          <w:rFonts w:ascii="Arial" w:hAnsi="Arial" w:eastAsia="Microsoft YaHei"/>
          <w:sz w:val="20"/>
        </w:rPr>
        <w:t>后台各页面应提供“返回三维地球”入口，避免用户迷失在后台层级中。</w:t>
      </w:r>
    </w:p>
    <w:p>
      <w:pPr>
        <w:pStyle w:val="ListNumber"/>
      </w:pPr>
      <w:r>
        <w:rPr>
          <w:rFonts w:ascii="Arial" w:hAnsi="Arial" w:eastAsia="Microsoft YaHei"/>
          <w:sz w:val="20"/>
        </w:rPr>
        <w:t xml:space="preserve">数据资源中心不离开地图上下文，以弹层或宽抽屉形式出现在 </w:t>
      </w:r>
      <w:r>
        <w:rPr>
          <w:rFonts w:ascii="Consolas" w:hAnsi="Consolas" w:eastAsia="Consolas"/>
          <w:sz w:val="20"/>
        </w:rPr>
        <w:t>/map</w:t>
      </w:r>
      <w:r>
        <w:rPr>
          <w:rFonts w:ascii="Arial" w:hAnsi="Arial" w:eastAsia="Microsoft YaHei"/>
          <w:sz w:val="20"/>
        </w:rPr>
        <w:t xml:space="preserve"> 上方。</w:t>
      </w:r>
    </w:p>
    <w:p>
      <w:pPr>
        <w:pStyle w:val="Heading2"/>
      </w:pPr>
      <w:r>
        <w:rPr>
          <w:rFonts w:ascii="Arial" w:hAnsi="Arial" w:eastAsia="Microsoft YaHei"/>
          <w:sz w:val="28"/>
        </w:rPr>
        <w:t>4. 主界面视觉参考拆解</w:t>
      </w:r>
    </w:p>
    <w:p>
      <w:pPr>
        <w:spacing w:after="120"/>
      </w:pPr>
      <w:r>
        <w:rPr>
          <w:rFonts w:ascii="Arial" w:hAnsi="Arial" w:eastAsia="Microsoft YaHei"/>
          <w:sz w:val="21"/>
        </w:rPr>
        <w:t>参考国家遥感数据与应用服务平台的主界面时，本项目只吸收可泛化的 UI 结构：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070"/>
        <w:gridCol w:w="7070"/>
      </w:tblGrid>
      <w:tr>
        <w:tc>
          <w:tcPr>
            <w:tcW w:type="dxa" w:w="707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6"/>
              </w:rPr>
              <w:t>参考界面特征</w:t>
            </w:r>
          </w:p>
        </w:tc>
        <w:tc>
          <w:tcPr>
            <w:tcW w:type="dxa" w:w="707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6"/>
              </w:rPr>
              <w:t>本项目转化方式</w:t>
            </w:r>
          </w:p>
        </w:tc>
      </w:tr>
      <w:tr>
        <w:tc>
          <w:tcPr>
            <w:tcW w:type="dxa" w:w="707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顶部黑色导航 + 搜索胶囊</w:t>
            </w:r>
          </w:p>
        </w:tc>
        <w:tc>
          <w:tcPr>
            <w:tcW w:type="dxa" w:w="707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转化为平台品牌区、模块导航、全局检索、用户区</w:t>
            </w:r>
          </w:p>
        </w:tc>
      </w:tr>
      <w:tr>
        <w:tc>
          <w:tcPr>
            <w:tcW w:type="dxa" w:w="707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左侧竖向产品分类栏</w:t>
            </w:r>
          </w:p>
        </w:tc>
        <w:tc>
          <w:tcPr>
            <w:tcW w:type="dxa" w:w="707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转化为地理工作台左侧 `数据 / 图层 / 专题` 分组入口</w:t>
            </w:r>
          </w:p>
        </w:tc>
      </w:tr>
      <w:tr>
        <w:tc>
          <w:tcPr>
            <w:tcW w:type="dxa" w:w="707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左侧条件检索面板</w:t>
            </w:r>
          </w:p>
        </w:tc>
        <w:tc>
          <w:tcPr>
            <w:tcW w:type="dxa" w:w="707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转化为数据 Tab 与数据资源中心的筛选区</w:t>
            </w:r>
          </w:p>
        </w:tc>
      </w:tr>
      <w:tr>
        <w:tc>
          <w:tcPr>
            <w:tcW w:type="dxa" w:w="707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条件检索 / 查询结果切换</w:t>
            </w:r>
          </w:p>
        </w:tc>
        <w:tc>
          <w:tcPr>
            <w:tcW w:type="dxa" w:w="707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转化为资源检索结果、空间查询结果、图层加载状态切换</w:t>
            </w:r>
          </w:p>
        </w:tc>
      </w:tr>
      <w:tr>
        <w:tc>
          <w:tcPr>
            <w:tcW w:type="dxa" w:w="707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中央三维地球主视图</w:t>
            </w:r>
          </w:p>
        </w:tc>
        <w:tc>
          <w:tcPr>
            <w:tcW w:type="dxa" w:w="707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保留本平台地图核心，强化胡杨林重点区域、河流廊道、样地和栅格影像表达</w:t>
            </w:r>
          </w:p>
        </w:tc>
      </w:tr>
      <w:tr>
        <w:tc>
          <w:tcPr>
            <w:tcW w:type="dxa" w:w="707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右侧竖向工具按钮</w:t>
            </w:r>
          </w:p>
        </w:tc>
        <w:tc>
          <w:tcPr>
            <w:tcW w:type="dxa" w:w="707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转化为地图控件组：复位、定位、底图、全屏、测量、绘制等</w:t>
            </w:r>
          </w:p>
        </w:tc>
      </w:tr>
      <w:tr>
        <w:tc>
          <w:tcPr>
            <w:tcW w:type="dxa" w:w="707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底部经纬度与视角状态栏</w:t>
            </w:r>
          </w:p>
        </w:tc>
        <w:tc>
          <w:tcPr>
            <w:tcW w:type="dxa" w:w="707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转化为坐标、比例尺、视角高度、当前范围状态显示</w:t>
            </w:r>
          </w:p>
        </w:tc>
      </w:tr>
      <w:tr>
        <w:tc>
          <w:tcPr>
            <w:tcW w:type="dxa" w:w="707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深色沉浸背景 + 浮动面板</w:t>
            </w:r>
          </w:p>
        </w:tc>
        <w:tc>
          <w:tcPr>
            <w:tcW w:type="dxa" w:w="707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保留原左右侧边栏和下边栏结构，提升半透明面板层次和可读性</w:t>
            </w:r>
          </w:p>
        </w:tc>
      </w:tr>
    </w:tbl>
    <w:p/>
    <w:p>
      <w:pPr>
        <w:spacing w:after="120"/>
      </w:pPr>
      <w:r>
        <w:rPr>
          <w:rFonts w:ascii="Arial" w:hAnsi="Arial" w:eastAsia="Microsoft YaHei"/>
          <w:sz w:val="21"/>
        </w:rPr>
        <w:t>需要避免的做法：</w:t>
      </w:r>
    </w:p>
    <w:p>
      <w:pPr>
        <w:pStyle w:val="ListNumber"/>
      </w:pPr>
      <w:r>
        <w:rPr>
          <w:rFonts w:ascii="Arial" w:hAnsi="Arial" w:eastAsia="Microsoft YaHei"/>
          <w:sz w:val="20"/>
        </w:rPr>
        <w:t>不复制对方 Logo、产品名、图标、图片素材和源代码。</w:t>
      </w:r>
    </w:p>
    <w:p>
      <w:pPr>
        <w:pStyle w:val="ListNumber"/>
      </w:pPr>
      <w:r>
        <w:rPr>
          <w:rFonts w:ascii="Arial" w:hAnsi="Arial" w:eastAsia="Microsoft YaHei"/>
          <w:sz w:val="20"/>
        </w:rPr>
        <w:t>不照搬其遥感产品分类名称，应使用本项目的胡杨林生态数据分类。</w:t>
      </w:r>
    </w:p>
    <w:p>
      <w:pPr>
        <w:pStyle w:val="ListNumber"/>
      </w:pPr>
      <w:r>
        <w:rPr>
          <w:rFonts w:ascii="Arial" w:hAnsi="Arial" w:eastAsia="Microsoft YaHei"/>
          <w:sz w:val="20"/>
        </w:rPr>
        <w:t>不把栅格符号化搬到前端；前端只展示后端返回的瓦片和渲染结果。</w:t>
      </w:r>
    </w:p>
    <w:p>
      <w:pPr>
        <w:pStyle w:val="Heading2"/>
      </w:pPr>
      <w:r>
        <w:rPr>
          <w:rFonts w:ascii="Arial" w:hAnsi="Arial" w:eastAsia="Microsoft YaHei"/>
          <w:sz w:val="28"/>
        </w:rPr>
        <w:t>5. 界面功能与 API 对照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67"/>
        <w:gridCol w:w="1767"/>
        <w:gridCol w:w="1767"/>
        <w:gridCol w:w="1767"/>
        <w:gridCol w:w="1767"/>
        <w:gridCol w:w="1767"/>
        <w:gridCol w:w="1767"/>
        <w:gridCol w:w="1767"/>
      </w:tblGrid>
      <w:tr>
        <w:tc>
          <w:tcPr>
            <w:tcW w:type="dxa" w:w="1767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6"/>
              </w:rPr>
              <w:t>编号</w:t>
            </w:r>
          </w:p>
        </w:tc>
        <w:tc>
          <w:tcPr>
            <w:tcW w:type="dxa" w:w="1767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6"/>
              </w:rPr>
              <w:t>界面</w:t>
            </w:r>
          </w:p>
        </w:tc>
        <w:tc>
          <w:tcPr>
            <w:tcW w:type="dxa" w:w="1767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6"/>
              </w:rPr>
              <w:t>当前前端位置</w:t>
            </w:r>
          </w:p>
        </w:tc>
        <w:tc>
          <w:tcPr>
            <w:tcW w:type="dxa" w:w="1767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6"/>
              </w:rPr>
              <w:t>核心功能</w:t>
            </w:r>
          </w:p>
        </w:tc>
        <w:tc>
          <w:tcPr>
            <w:tcW w:type="dxa" w:w="1767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6"/>
              </w:rPr>
              <w:t>主要 API 依赖</w:t>
            </w:r>
          </w:p>
        </w:tc>
        <w:tc>
          <w:tcPr>
            <w:tcW w:type="dxa" w:w="1767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6"/>
              </w:rPr>
              <w:t>权限与访问</w:t>
            </w:r>
          </w:p>
        </w:tc>
        <w:tc>
          <w:tcPr>
            <w:tcW w:type="dxa" w:w="1767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6"/>
              </w:rPr>
              <w:t>重设计重点</w:t>
            </w:r>
          </w:p>
        </w:tc>
        <w:tc>
          <w:tcPr>
            <w:tcW w:type="dxa" w:w="1767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6"/>
              </w:rPr>
              <w:t>状态</w:t>
            </w:r>
          </w:p>
        </w:tc>
      </w:tr>
      <w:tr>
        <w:tc>
          <w:tcPr>
            <w:tcW w:type="dxa" w:w="176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F01</w:t>
            </w:r>
          </w:p>
        </w:tc>
        <w:tc>
          <w:tcPr>
            <w:tcW w:type="dxa" w:w="176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统一登录页</w:t>
            </w:r>
          </w:p>
        </w:tc>
        <w:tc>
          <w:tcPr>
            <w:tcW w:type="dxa" w:w="176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`frontend/src/pages/LoginPage.tsx`</w:t>
            </w:r>
          </w:p>
        </w:tc>
        <w:tc>
          <w:tcPr>
            <w:tcW w:type="dxa" w:w="176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登录、注册入口、记住登录、错误提示、系统第一印象</w:t>
            </w:r>
          </w:p>
        </w:tc>
        <w:tc>
          <w:tcPr>
            <w:tcW w:type="dxa" w:w="176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`/api/bootstrap/`、`/api/auth/csrf/`、`/api/auth/login/`、`/api/auth/register/`、`/api/auth/me/`</w:t>
            </w:r>
          </w:p>
        </w:tc>
        <w:tc>
          <w:tcPr>
            <w:tcW w:type="dxa" w:w="176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未登录可访问；已登录重定向 `/map`</w:t>
            </w:r>
          </w:p>
        </w:tc>
        <w:tc>
          <w:tcPr>
            <w:tcW w:type="dxa" w:w="176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沉浸式生态背景、右侧登录表单、轻量数据指标</w:t>
            </w:r>
          </w:p>
        </w:tc>
        <w:tc>
          <w:tcPr>
            <w:tcW w:type="dxa" w:w="176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未开始</w:t>
            </w:r>
          </w:p>
        </w:tc>
      </w:tr>
      <w:tr>
        <w:tc>
          <w:tcPr>
            <w:tcW w:type="dxa" w:w="176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F02</w:t>
            </w:r>
          </w:p>
        </w:tc>
        <w:tc>
          <w:tcPr>
            <w:tcW w:type="dxa" w:w="176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三维地球主界面</w:t>
            </w:r>
          </w:p>
        </w:tc>
        <w:tc>
          <w:tcPr>
            <w:tcW w:type="dxa" w:w="176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`frontend/src/pages/MapPage.tsx`</w:t>
            </w:r>
          </w:p>
        </w:tc>
        <w:tc>
          <w:tcPr>
            <w:tcW w:type="dxa" w:w="176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地图浏览、图层管理、数据检索、空间查询、结果分析、顶部导航</w:t>
            </w:r>
          </w:p>
        </w:tc>
        <w:tc>
          <w:tcPr>
            <w:tcW w:type="dxa" w:w="176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`/api/catalog/resources/`、`/api/catalog/directories/`、`/api/layers/`、`/api/raster/render/`、`/api/search/`、导出和任务接口</w:t>
            </w:r>
          </w:p>
        </w:tc>
        <w:tc>
          <w:tcPr>
            <w:tcW w:type="dxa" w:w="176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登录后访问；功能按钮按权限显示</w:t>
            </w:r>
          </w:p>
        </w:tc>
        <w:tc>
          <w:tcPr>
            <w:tcW w:type="dxa" w:w="176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参考遥感平台布局，保留左右下栏，升级工作台视觉</w:t>
            </w:r>
          </w:p>
        </w:tc>
        <w:tc>
          <w:tcPr>
            <w:tcW w:type="dxa" w:w="176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未开始</w:t>
            </w:r>
          </w:p>
        </w:tc>
      </w:tr>
      <w:tr>
        <w:tc>
          <w:tcPr>
            <w:tcW w:type="dxa" w:w="176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F03</w:t>
            </w:r>
          </w:p>
        </w:tc>
        <w:tc>
          <w:tcPr>
            <w:tcW w:type="dxa" w:w="176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数据资源中心</w:t>
            </w:r>
          </w:p>
        </w:tc>
        <w:tc>
          <w:tcPr>
            <w:tcW w:type="dxa" w:w="176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现有 `DataPanel` 能力演进</w:t>
            </w:r>
          </w:p>
        </w:tc>
        <w:tc>
          <w:tcPr>
            <w:tcW w:type="dxa" w:w="176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资源筛选、资源预览、字段元数据、加载到地图、最近使用</w:t>
            </w:r>
          </w:p>
        </w:tc>
        <w:tc>
          <w:tcPr>
            <w:tcW w:type="dxa" w:w="176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`/api/catalog/resources/`、`/api/catalog/resources/{id}/profile/`、`/api/layers/{layer_name}/profile/`、`/api/raster/datasets/`</w:t>
            </w:r>
          </w:p>
        </w:tc>
        <w:tc>
          <w:tcPr>
            <w:tcW w:type="dxa" w:w="176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需 `core.browse_data`，加载按矢量/栅格权限控制</w:t>
            </w:r>
          </w:p>
        </w:tc>
        <w:tc>
          <w:tcPr>
            <w:tcW w:type="dxa" w:w="176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宽弹层三列结构：筛选、列表、详情</w:t>
            </w:r>
          </w:p>
        </w:tc>
        <w:tc>
          <w:tcPr>
            <w:tcW w:type="dxa" w:w="176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未开始</w:t>
            </w:r>
          </w:p>
        </w:tc>
      </w:tr>
      <w:tr>
        <w:tc>
          <w:tcPr>
            <w:tcW w:type="dxa" w:w="176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F04</w:t>
            </w:r>
          </w:p>
        </w:tc>
        <w:tc>
          <w:tcPr>
            <w:tcW w:type="dxa" w:w="176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非地理可视化</w:t>
            </w:r>
          </w:p>
        </w:tc>
        <w:tc>
          <w:tcPr>
            <w:tcW w:type="dxa" w:w="176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`frontend/src/pages/NonGeoPage.tsx`</w:t>
            </w:r>
          </w:p>
        </w:tc>
        <w:tc>
          <w:tcPr>
            <w:tcW w:type="dxa" w:w="176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表格、基因、文档、图片等非空间数据分析</w:t>
            </w:r>
          </w:p>
        </w:tc>
        <w:tc>
          <w:tcPr>
            <w:tcW w:type="dxa" w:w="176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现有资源列表与搜索接口可支撑总览；高级分析可能需要新增接口</w:t>
            </w:r>
          </w:p>
        </w:tc>
        <w:tc>
          <w:tcPr>
            <w:tcW w:type="dxa" w:w="176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登录后访问，按数据可见范围裁剪</w:t>
            </w:r>
          </w:p>
        </w:tc>
        <w:tc>
          <w:tcPr>
            <w:tcW w:type="dxa" w:w="176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从空承载页升级为科研数据分析工作台</w:t>
            </w:r>
          </w:p>
        </w:tc>
        <w:tc>
          <w:tcPr>
            <w:tcW w:type="dxa" w:w="176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未开始</w:t>
            </w:r>
          </w:p>
        </w:tc>
      </w:tr>
      <w:tr>
        <w:tc>
          <w:tcPr>
            <w:tcW w:type="dxa" w:w="176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F05</w:t>
            </w:r>
          </w:p>
        </w:tc>
        <w:tc>
          <w:tcPr>
            <w:tcW w:type="dxa" w:w="176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成果目录</w:t>
            </w:r>
          </w:p>
        </w:tc>
        <w:tc>
          <w:tcPr>
            <w:tcW w:type="dxa" w:w="176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建议新增页面</w:t>
            </w:r>
          </w:p>
        </w:tc>
        <w:tc>
          <w:tcPr>
            <w:tcW w:type="dxa" w:w="176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成果列表、成果筛选、成果详情、关联图层或资源</w:t>
            </w:r>
          </w:p>
        </w:tc>
        <w:tc>
          <w:tcPr>
            <w:tcW w:type="dxa" w:w="176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`/api/achievements/`、`/api/search/`；详情和附件预览能力待确认</w:t>
            </w:r>
          </w:p>
        </w:tc>
        <w:tc>
          <w:tcPr>
            <w:tcW w:type="dxa" w:w="176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登录后访问，需浏览数据权限</w:t>
            </w:r>
          </w:p>
        </w:tc>
        <w:tc>
          <w:tcPr>
            <w:tcW w:type="dxa" w:w="176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顶部导航独立入口，承接设计文档“成果展示”要求</w:t>
            </w:r>
          </w:p>
        </w:tc>
        <w:tc>
          <w:tcPr>
            <w:tcW w:type="dxa" w:w="176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未开始</w:t>
            </w:r>
          </w:p>
        </w:tc>
      </w:tr>
      <w:tr>
        <w:tc>
          <w:tcPr>
            <w:tcW w:type="dxa" w:w="176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F06</w:t>
            </w:r>
          </w:p>
        </w:tc>
        <w:tc>
          <w:tcPr>
            <w:tcW w:type="dxa" w:w="176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后台 Dashboard</w:t>
            </w:r>
          </w:p>
        </w:tc>
        <w:tc>
          <w:tcPr>
            <w:tcW w:type="dxa" w:w="176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`frontend/src/admin/AdminDashboardPage.tsx`</w:t>
            </w:r>
          </w:p>
        </w:tc>
        <w:tc>
          <w:tcPr>
            <w:tcW w:type="dxa" w:w="176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资源、图层、栅格、用户、活跃用户、服务器状态</w:t>
            </w:r>
          </w:p>
        </w:tc>
        <w:tc>
          <w:tcPr>
            <w:tcW w:type="dxa" w:w="176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`/api/admin/dashboard/`、`/api/admin/dashboard/server/`</w:t>
            </w:r>
          </w:p>
        </w:tc>
        <w:tc>
          <w:tcPr>
            <w:tcW w:type="dxa" w:w="176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需 `core.access_admin`；卡片按 Dashboard 权限返回</w:t>
            </w:r>
          </w:p>
        </w:tc>
        <w:tc>
          <w:tcPr>
            <w:tcW w:type="dxa" w:w="176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Ant Design Pro 风格增强指标图表</w:t>
            </w:r>
          </w:p>
        </w:tc>
        <w:tc>
          <w:tcPr>
            <w:tcW w:type="dxa" w:w="176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未开始</w:t>
            </w:r>
          </w:p>
        </w:tc>
      </w:tr>
      <w:tr>
        <w:tc>
          <w:tcPr>
            <w:tcW w:type="dxa" w:w="176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F07</w:t>
            </w:r>
          </w:p>
        </w:tc>
        <w:tc>
          <w:tcPr>
            <w:tcW w:type="dxa" w:w="176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用户设置 / 个人中心</w:t>
            </w:r>
          </w:p>
        </w:tc>
        <w:tc>
          <w:tcPr>
            <w:tcW w:type="dxa" w:w="176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`frontend/src/admin/AdminProfilePage.tsx`</w:t>
            </w:r>
          </w:p>
        </w:tc>
        <w:tc>
          <w:tcPr>
            <w:tcW w:type="dxa" w:w="176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个人资料、头像、密码、主动关闭权限</w:t>
            </w:r>
          </w:p>
        </w:tc>
        <w:tc>
          <w:tcPr>
            <w:tcW w:type="dxa" w:w="176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`/api/admin/profile/`、`/api/admin/profile/update/`、`/api/admin/profile/password/`、`/api/admin/profile/permissions/`</w:t>
            </w:r>
          </w:p>
        </w:tc>
        <w:tc>
          <w:tcPr>
            <w:tcW w:type="dxa" w:w="176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后台用户可访问</w:t>
            </w:r>
          </w:p>
        </w:tc>
        <w:tc>
          <w:tcPr>
            <w:tcW w:type="dxa" w:w="176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信息结构优化、权限可视化、安全状态</w:t>
            </w:r>
          </w:p>
        </w:tc>
        <w:tc>
          <w:tcPr>
            <w:tcW w:type="dxa" w:w="176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未开始</w:t>
            </w:r>
          </w:p>
        </w:tc>
      </w:tr>
      <w:tr>
        <w:tc>
          <w:tcPr>
            <w:tcW w:type="dxa" w:w="176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F08</w:t>
            </w:r>
          </w:p>
        </w:tc>
        <w:tc>
          <w:tcPr>
            <w:tcW w:type="dxa" w:w="176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操作日志</w:t>
            </w:r>
          </w:p>
        </w:tc>
        <w:tc>
          <w:tcPr>
            <w:tcW w:type="dxa" w:w="176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`frontend/src/admin/AdminOperationLogsPage.tsx`</w:t>
            </w:r>
          </w:p>
        </w:tc>
        <w:tc>
          <w:tcPr>
            <w:tcW w:type="dxa" w:w="176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审计日志筛选、分页、导出、风险定位</w:t>
            </w:r>
          </w:p>
        </w:tc>
        <w:tc>
          <w:tcPr>
            <w:tcW w:type="dxa" w:w="176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`/api/admin/operation-logs/`</w:t>
            </w:r>
          </w:p>
        </w:tc>
        <w:tc>
          <w:tcPr>
            <w:tcW w:type="dxa" w:w="176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需 `core.view_operation_logs`，范围按日志权限裁剪</w:t>
            </w:r>
          </w:p>
        </w:tc>
        <w:tc>
          <w:tcPr>
            <w:tcW w:type="dxa" w:w="176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表格效率优先，增加趋势和异常摘要</w:t>
            </w:r>
          </w:p>
        </w:tc>
        <w:tc>
          <w:tcPr>
            <w:tcW w:type="dxa" w:w="176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未开始</w:t>
            </w:r>
          </w:p>
        </w:tc>
      </w:tr>
      <w:tr>
        <w:tc>
          <w:tcPr>
            <w:tcW w:type="dxa" w:w="176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F09</w:t>
            </w:r>
          </w:p>
        </w:tc>
        <w:tc>
          <w:tcPr>
            <w:tcW w:type="dxa" w:w="176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系统设置</w:t>
            </w:r>
          </w:p>
        </w:tc>
        <w:tc>
          <w:tcPr>
            <w:tcW w:type="dxa" w:w="176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`frontend/src/admin/AdminSystemSettingsPage.tsx`</w:t>
            </w:r>
          </w:p>
        </w:tc>
        <w:tc>
          <w:tcPr>
            <w:tcW w:type="dxa" w:w="176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系统名称、注册开关、栅格配置、运行配置查看</w:t>
            </w:r>
          </w:p>
        </w:tc>
        <w:tc>
          <w:tcPr>
            <w:tcW w:type="dxa" w:w="176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`/api/admin/settings/`</w:t>
            </w:r>
          </w:p>
        </w:tc>
        <w:tc>
          <w:tcPr>
            <w:tcW w:type="dxa" w:w="176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需 `core.manage_system_settings`</w:t>
            </w:r>
          </w:p>
        </w:tc>
        <w:tc>
          <w:tcPr>
            <w:tcW w:type="dxa" w:w="176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配置健康、缓存/脚本状态展示</w:t>
            </w:r>
          </w:p>
        </w:tc>
        <w:tc>
          <w:tcPr>
            <w:tcW w:type="dxa" w:w="176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未开始</w:t>
            </w:r>
          </w:p>
        </w:tc>
      </w:tr>
      <w:tr>
        <w:tc>
          <w:tcPr>
            <w:tcW w:type="dxa" w:w="176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F10</w:t>
            </w:r>
          </w:p>
        </w:tc>
        <w:tc>
          <w:tcPr>
            <w:tcW w:type="dxa" w:w="176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存量数据管理</w:t>
            </w:r>
          </w:p>
        </w:tc>
        <w:tc>
          <w:tcPr>
            <w:tcW w:type="dxa" w:w="176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`frontend/src/admin/AdminDataInventoryPage.tsx`</w:t>
            </w:r>
          </w:p>
        </w:tc>
        <w:tc>
          <w:tcPr>
            <w:tcW w:type="dxa" w:w="176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数据清单、启停、访问范围、默认可视化、删除确认、清单导出</w:t>
            </w:r>
          </w:p>
        </w:tc>
        <w:tc>
          <w:tcPr>
            <w:tcW w:type="dxa" w:w="176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`/api/admin/data/resources/`、`/api/admin/data/resources/{id}/`、`/api/admin/data/resources/export/`</w:t>
            </w:r>
          </w:p>
        </w:tc>
        <w:tc>
          <w:tcPr>
            <w:tcW w:type="dxa" w:w="176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需 `catalog.maintain_dataresource` 或导出权限</w:t>
            </w:r>
          </w:p>
        </w:tc>
        <w:tc>
          <w:tcPr>
            <w:tcW w:type="dxa" w:w="176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高密度表格 + 统计卡 + 右侧抽屉</w:t>
            </w:r>
          </w:p>
        </w:tc>
        <w:tc>
          <w:tcPr>
            <w:tcW w:type="dxa" w:w="176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未开始</w:t>
            </w:r>
          </w:p>
        </w:tc>
      </w:tr>
      <w:tr>
        <w:tc>
          <w:tcPr>
            <w:tcW w:type="dxa" w:w="176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F11</w:t>
            </w:r>
          </w:p>
        </w:tc>
        <w:tc>
          <w:tcPr>
            <w:tcW w:type="dxa" w:w="176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数据导入</w:t>
            </w:r>
          </w:p>
        </w:tc>
        <w:tc>
          <w:tcPr>
            <w:tcW w:type="dxa" w:w="176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`frontend/src/admin/AdminDataImportPage.tsx`</w:t>
            </w:r>
          </w:p>
        </w:tc>
        <w:tc>
          <w:tcPr>
            <w:tcW w:type="dxa" w:w="176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文件选择、预检、校验、字段元数据、提交入库</w:t>
            </w:r>
          </w:p>
        </w:tc>
        <w:tc>
          <w:tcPr>
            <w:tcW w:type="dxa" w:w="176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`/api/catalog/import/preview/`、`/api/catalog/import/validate/`、`/api/catalog/import/commit/`</w:t>
            </w:r>
          </w:p>
        </w:tc>
        <w:tc>
          <w:tcPr>
            <w:tcW w:type="dxa" w:w="176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需 `catalog.maintain_dataresource`</w:t>
            </w:r>
          </w:p>
        </w:tc>
        <w:tc>
          <w:tcPr>
            <w:tcW w:type="dxa" w:w="176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步骤化导入、校验结果可视化、错误定位</w:t>
            </w:r>
          </w:p>
        </w:tc>
        <w:tc>
          <w:tcPr>
            <w:tcW w:type="dxa" w:w="176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未开始</w:t>
            </w:r>
          </w:p>
        </w:tc>
      </w:tr>
      <w:tr>
        <w:tc>
          <w:tcPr>
            <w:tcW w:type="dxa" w:w="176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F12</w:t>
            </w:r>
          </w:p>
        </w:tc>
        <w:tc>
          <w:tcPr>
            <w:tcW w:type="dxa" w:w="176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用户管理</w:t>
            </w:r>
          </w:p>
        </w:tc>
        <w:tc>
          <w:tcPr>
            <w:tcW w:type="dxa" w:w="176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`frontend/src/admin/AdminAuthPage.tsx`</w:t>
            </w:r>
          </w:p>
        </w:tc>
        <w:tc>
          <w:tcPr>
            <w:tcW w:type="dxa" w:w="176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用户列表、新建、启停、删除、重置密码、分组、直授权限</w:t>
            </w:r>
          </w:p>
        </w:tc>
        <w:tc>
          <w:tcPr>
            <w:tcW w:type="dxa" w:w="176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`/api/users/`、`/api/users/{userId}/...`、`/api/groups/`</w:t>
            </w:r>
          </w:p>
        </w:tc>
        <w:tc>
          <w:tcPr>
            <w:tcW w:type="dxa" w:w="176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需 `core.manage_auth`；新建需 `core.create_user`</w:t>
            </w:r>
          </w:p>
        </w:tc>
        <w:tc>
          <w:tcPr>
            <w:tcW w:type="dxa" w:w="176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用户状态、角色分布、权限影响提示</w:t>
            </w:r>
          </w:p>
        </w:tc>
        <w:tc>
          <w:tcPr>
            <w:tcW w:type="dxa" w:w="176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未开始</w:t>
            </w:r>
          </w:p>
        </w:tc>
      </w:tr>
      <w:tr>
        <w:tc>
          <w:tcPr>
            <w:tcW w:type="dxa" w:w="176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F13</w:t>
            </w:r>
          </w:p>
        </w:tc>
        <w:tc>
          <w:tcPr>
            <w:tcW w:type="dxa" w:w="176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用户组权限</w:t>
            </w:r>
          </w:p>
        </w:tc>
        <w:tc>
          <w:tcPr>
            <w:tcW w:type="dxa" w:w="176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`frontend/src/admin/AdminAuthPage.tsx`</w:t>
            </w:r>
          </w:p>
        </w:tc>
        <w:tc>
          <w:tcPr>
            <w:tcW w:type="dxa" w:w="176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用户组列表、创建、修改、权限矩阵、保护组提示</w:t>
            </w:r>
          </w:p>
        </w:tc>
        <w:tc>
          <w:tcPr>
            <w:tcW w:type="dxa" w:w="176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`/api/groups/`、`/api/groups/{groupId}/`</w:t>
            </w:r>
          </w:p>
        </w:tc>
        <w:tc>
          <w:tcPr>
            <w:tcW w:type="dxa" w:w="176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需 `core.manage_auth` 和部分功能权限配置权限</w:t>
            </w:r>
          </w:p>
        </w:tc>
        <w:tc>
          <w:tcPr>
            <w:tcW w:type="dxa" w:w="176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权限矩阵、模块覆盖率、风险权限提示</w:t>
            </w:r>
          </w:p>
        </w:tc>
        <w:tc>
          <w:tcPr>
            <w:tcW w:type="dxa" w:w="176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未开始</w:t>
            </w:r>
          </w:p>
        </w:tc>
      </w:tr>
    </w:tbl>
    <w:p/>
    <w:p>
      <w:pPr>
        <w:pStyle w:val="Heading2"/>
      </w:pPr>
      <w:r>
        <w:rPr>
          <w:rFonts w:ascii="Arial" w:hAnsi="Arial" w:eastAsia="Microsoft YaHei"/>
          <w:sz w:val="28"/>
        </w:rPr>
        <w:t xml:space="preserve">6. </w:t>
      </w:r>
      <w:r>
        <w:rPr>
          <w:rFonts w:ascii="Consolas" w:hAnsi="Consolas" w:eastAsia="Consolas"/>
          <w:sz w:val="28"/>
        </w:rPr>
        <w:t>/map</w:t>
      </w:r>
      <w:r>
        <w:rPr>
          <w:rFonts w:ascii="Arial" w:hAnsi="Arial" w:eastAsia="Microsoft YaHei"/>
          <w:sz w:val="28"/>
        </w:rPr>
        <w:t xml:space="preserve"> 主工作台模块拆分</w:t>
      </w:r>
    </w:p>
    <w:p>
      <w:pPr>
        <w:spacing w:after="120"/>
      </w:pPr>
      <w:r>
        <w:rPr>
          <w:rFonts w:ascii="Consolas" w:hAnsi="Consolas" w:eastAsia="Consolas"/>
          <w:sz w:val="21"/>
        </w:rPr>
        <w:t>/map</w:t>
      </w:r>
      <w:r>
        <w:rPr>
          <w:rFonts w:ascii="Arial" w:hAnsi="Arial" w:eastAsia="Microsoft YaHei"/>
          <w:sz w:val="21"/>
        </w:rPr>
        <w:t xml:space="preserve"> 是本轮前端优化的第一优先级。虽然它只算一个路由页面，但内部需要按工作区拆成可并行开发的组件任务。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6"/>
              </w:rPr>
              <w:t>工作区</w:t>
            </w:r>
          </w:p>
        </w:tc>
        <w:tc>
          <w:tcPr>
            <w:tcW w:type="dxa" w:w="3535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6"/>
              </w:rPr>
              <w:t>推荐组件方向</w:t>
            </w:r>
          </w:p>
        </w:tc>
        <w:tc>
          <w:tcPr>
            <w:tcW w:type="dxa" w:w="3535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6"/>
              </w:rPr>
              <w:t>功能边界</w:t>
            </w:r>
          </w:p>
        </w:tc>
        <w:tc>
          <w:tcPr>
            <w:tcW w:type="dxa" w:w="3535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6"/>
              </w:rPr>
              <w:t>API 影响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顶部全局导航</w:t>
            </w:r>
          </w:p>
        </w:tc>
        <w:tc>
          <w:tcPr>
            <w:tcW w:type="dxa" w:w="353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`GlobalNav` 或 `WorkspaceHeader`</w:t>
            </w:r>
          </w:p>
        </w:tc>
        <w:tc>
          <w:tcPr>
            <w:tcW w:type="dxa" w:w="353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品牌、模块切换、全局搜索、用户信息、后台入口</w:t>
            </w:r>
          </w:p>
        </w:tc>
        <w:tc>
          <w:tcPr>
            <w:tcW w:type="dxa" w:w="353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全局搜索使用现有 `/api/search/`；若需要搜索建议再提 API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中央地图视图</w:t>
            </w:r>
          </w:p>
        </w:tc>
        <w:tc>
          <w:tcPr>
            <w:tcW w:type="dxa" w:w="353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`MapCanvas` 强化</w:t>
            </w:r>
          </w:p>
        </w:tc>
        <w:tc>
          <w:tcPr>
            <w:tcW w:type="dxa" w:w="353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三维地球、图层渲染、地图控件、坐标状态</w:t>
            </w:r>
          </w:p>
        </w:tc>
        <w:tc>
          <w:tcPr>
            <w:tcW w:type="dxa" w:w="353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复用现有图层、栅格、瓦片接口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左侧栏</w:t>
            </w:r>
          </w:p>
        </w:tc>
        <w:tc>
          <w:tcPr>
            <w:tcW w:type="dxa" w:w="353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`WorkspaceLeftPanel`</w:t>
            </w:r>
          </w:p>
        </w:tc>
        <w:tc>
          <w:tcPr>
            <w:tcW w:type="dxa" w:w="353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`数据 / 图层 / 专题` Tabs，资源入口和图层控制</w:t>
            </w:r>
          </w:p>
        </w:tc>
        <w:tc>
          <w:tcPr>
            <w:tcW w:type="dxa" w:w="353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数据与图层复用现有接口；专题组合若需后端持久化再提 API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右侧栏</w:t>
            </w:r>
          </w:p>
        </w:tc>
        <w:tc>
          <w:tcPr>
            <w:tcW w:type="dxa" w:w="353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`WorkspaceRightPanel`</w:t>
            </w:r>
          </w:p>
        </w:tc>
        <w:tc>
          <w:tcPr>
            <w:tcW w:type="dxa" w:w="353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当前视角缩略图、生态概览、要素详情、监测状态</w:t>
            </w:r>
          </w:p>
        </w:tc>
        <w:tc>
          <w:tcPr>
            <w:tcW w:type="dxa" w:w="353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要素详情复用当前选中要素；生态/监测指标多数待 API 确认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底部栏</w:t>
            </w:r>
          </w:p>
        </w:tc>
        <w:tc>
          <w:tcPr>
            <w:tcW w:type="dxa" w:w="353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`WorkspaceBottomPanel` 扩展</w:t>
            </w:r>
          </w:p>
        </w:tc>
        <w:tc>
          <w:tcPr>
            <w:tcW w:type="dxa" w:w="353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空间查询、结果表、时间轴、图例</w:t>
            </w:r>
          </w:p>
        </w:tc>
        <w:tc>
          <w:tcPr>
            <w:tcW w:type="dxa" w:w="353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查询和导出复用现有接口；时间序列分析可能待 API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数据资源中心</w:t>
            </w:r>
          </w:p>
        </w:tc>
        <w:tc>
          <w:tcPr>
            <w:tcW w:type="dxa" w:w="353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`DataResourceCenterDrawer`</w:t>
            </w:r>
          </w:p>
        </w:tc>
        <w:tc>
          <w:tcPr>
            <w:tcW w:type="dxa" w:w="353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资源筛选、列表/表格/卡片切换、详情、加载</w:t>
            </w:r>
          </w:p>
        </w:tc>
        <w:tc>
          <w:tcPr>
            <w:tcW w:type="dxa" w:w="353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复用资源列表、profile、raster dataset 接口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图层数据表弹窗</w:t>
            </w:r>
          </w:p>
        </w:tc>
        <w:tc>
          <w:tcPr>
            <w:tcW w:type="dxa" w:w="353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`LayerDataTableModal` 强化</w:t>
            </w:r>
          </w:p>
        </w:tc>
        <w:tc>
          <w:tcPr>
            <w:tcW w:type="dxa" w:w="353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图层属性表、行地图联动、字段筛选、导出入口</w:t>
            </w:r>
          </w:p>
        </w:tc>
        <w:tc>
          <w:tcPr>
            <w:tcW w:type="dxa" w:w="353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复用已加载图层数据与导出接口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符号化编辑器</w:t>
            </w:r>
          </w:p>
        </w:tc>
        <w:tc>
          <w:tcPr>
            <w:tcW w:type="dxa" w:w="353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`SymbolizationEditor` 强化</w:t>
            </w:r>
          </w:p>
        </w:tc>
        <w:tc>
          <w:tcPr>
            <w:tcW w:type="dxa" w:w="353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矢量样式、栅格规则 JSON、默认/自定义规则</w:t>
            </w:r>
          </w:p>
        </w:tc>
        <w:tc>
          <w:tcPr>
            <w:tcW w:type="dxa" w:w="353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栅格规则仍由后端渲染，前端只提交规则</w:t>
            </w:r>
          </w:p>
        </w:tc>
      </w:tr>
    </w:tbl>
    <w:p/>
    <w:p>
      <w:pPr>
        <w:spacing w:after="120"/>
      </w:pPr>
      <w:r>
        <w:rPr>
          <w:rFonts w:ascii="Arial" w:hAnsi="Arial" w:eastAsia="Microsoft YaHei"/>
          <w:sz w:val="21"/>
        </w:rPr>
        <w:t>主界面交互闭环：</w:t>
      </w:r>
    </w:p>
    <w:p>
      <w:pPr>
        <w:pStyle w:val="ListNumber"/>
      </w:pPr>
      <w:r>
        <w:rPr>
          <w:rFonts w:ascii="Arial" w:hAnsi="Arial" w:eastAsia="Microsoft YaHei"/>
          <w:sz w:val="20"/>
        </w:rPr>
        <w:t>用户从顶部导航确认当前模块。</w:t>
      </w:r>
    </w:p>
    <w:p>
      <w:pPr>
        <w:pStyle w:val="ListNumber"/>
      </w:pPr>
      <w:r>
        <w:rPr>
          <w:rFonts w:ascii="Arial" w:hAnsi="Arial" w:eastAsia="Microsoft YaHei"/>
          <w:sz w:val="20"/>
        </w:rPr>
        <w:t xml:space="preserve">用户在左侧 </w:t>
      </w:r>
      <w:r>
        <w:rPr>
          <w:rFonts w:ascii="Consolas" w:hAnsi="Consolas" w:eastAsia="Consolas"/>
          <w:sz w:val="20"/>
        </w:rPr>
        <w:t>数据</w:t>
      </w:r>
      <w:r>
        <w:rPr>
          <w:rFonts w:ascii="Arial" w:hAnsi="Arial" w:eastAsia="Microsoft YaHei"/>
          <w:sz w:val="20"/>
        </w:rPr>
        <w:t xml:space="preserve"> Tab 或数据资源中心检索资源。</w:t>
      </w:r>
    </w:p>
    <w:p>
      <w:pPr>
        <w:pStyle w:val="ListNumber"/>
      </w:pPr>
      <w:r>
        <w:rPr>
          <w:rFonts w:ascii="Arial" w:hAnsi="Arial" w:eastAsia="Microsoft YaHei"/>
          <w:sz w:val="20"/>
        </w:rPr>
        <w:t xml:space="preserve">用户加载资源后生成图层组，进入左侧 </w:t>
      </w:r>
      <w:r>
        <w:rPr>
          <w:rFonts w:ascii="Consolas" w:hAnsi="Consolas" w:eastAsia="Consolas"/>
          <w:sz w:val="20"/>
        </w:rPr>
        <w:t>图层</w:t>
      </w:r>
      <w:r>
        <w:rPr>
          <w:rFonts w:ascii="Arial" w:hAnsi="Arial" w:eastAsia="Microsoft YaHei"/>
          <w:sz w:val="20"/>
        </w:rPr>
        <w:t xml:space="preserve"> Tab。</w:t>
      </w:r>
    </w:p>
    <w:p>
      <w:pPr>
        <w:pStyle w:val="ListNumber"/>
      </w:pPr>
      <w:r>
        <w:rPr>
          <w:rFonts w:ascii="Arial" w:hAnsi="Arial" w:eastAsia="Microsoft YaHei"/>
          <w:sz w:val="20"/>
        </w:rPr>
        <w:t>用户在地图中浏览、点击要素或绘制范围。</w:t>
      </w:r>
    </w:p>
    <w:p>
      <w:pPr>
        <w:pStyle w:val="ListNumber"/>
      </w:pPr>
      <w:r>
        <w:rPr>
          <w:rFonts w:ascii="Arial" w:hAnsi="Arial" w:eastAsia="Microsoft YaHei"/>
          <w:sz w:val="20"/>
        </w:rPr>
        <w:t xml:space="preserve">绘制范围进入底部 </w:t>
      </w:r>
      <w:r>
        <w:rPr>
          <w:rFonts w:ascii="Consolas" w:hAnsi="Consolas" w:eastAsia="Consolas"/>
          <w:sz w:val="20"/>
        </w:rPr>
        <w:t>空间查询</w:t>
      </w:r>
      <w:r>
        <w:rPr>
          <w:rFonts w:ascii="Arial" w:hAnsi="Arial" w:eastAsia="Microsoft YaHei"/>
          <w:sz w:val="20"/>
        </w:rPr>
        <w:t xml:space="preserve">，查询结果进入底部 </w:t>
      </w:r>
      <w:r>
        <w:rPr>
          <w:rFonts w:ascii="Consolas" w:hAnsi="Consolas" w:eastAsia="Consolas"/>
          <w:sz w:val="20"/>
        </w:rPr>
        <w:t>结果</w:t>
      </w:r>
      <w:r>
        <w:rPr>
          <w:rFonts w:ascii="Arial" w:hAnsi="Arial" w:eastAsia="Microsoft YaHei"/>
          <w:sz w:val="20"/>
        </w:rPr>
        <w:t>。</w:t>
      </w:r>
    </w:p>
    <w:p>
      <w:pPr>
        <w:pStyle w:val="ListNumber"/>
      </w:pPr>
      <w:r>
        <w:rPr>
          <w:rFonts w:ascii="Arial" w:hAnsi="Arial" w:eastAsia="Microsoft YaHei"/>
          <w:sz w:val="20"/>
        </w:rPr>
        <w:t xml:space="preserve">选中要素进入右侧 </w:t>
      </w:r>
      <w:r>
        <w:rPr>
          <w:rFonts w:ascii="Consolas" w:hAnsi="Consolas" w:eastAsia="Consolas"/>
          <w:sz w:val="20"/>
        </w:rPr>
        <w:t>要素</w:t>
      </w:r>
      <w:r>
        <w:rPr>
          <w:rFonts w:ascii="Arial" w:hAnsi="Arial" w:eastAsia="Microsoft YaHei"/>
          <w:sz w:val="20"/>
        </w:rPr>
        <w:t xml:space="preserve"> Tab，图层元数据进入底部或弹窗详情。</w:t>
      </w:r>
    </w:p>
    <w:p>
      <w:pPr>
        <w:pStyle w:val="ListNumber"/>
      </w:pPr>
      <w:r>
        <w:rPr>
          <w:rFonts w:ascii="Arial" w:hAnsi="Arial" w:eastAsia="Microsoft YaHei"/>
          <w:sz w:val="20"/>
        </w:rPr>
        <w:t xml:space="preserve">栅格和矢量图例统一进入底部 </w:t>
      </w:r>
      <w:r>
        <w:rPr>
          <w:rFonts w:ascii="Consolas" w:hAnsi="Consolas" w:eastAsia="Consolas"/>
          <w:sz w:val="20"/>
        </w:rPr>
        <w:t>图例</w:t>
      </w:r>
      <w:r>
        <w:rPr>
          <w:rFonts w:ascii="Arial" w:hAnsi="Arial" w:eastAsia="Microsoft YaHei"/>
          <w:sz w:val="20"/>
        </w:rPr>
        <w:t>。</w:t>
      </w:r>
    </w:p>
    <w:p>
      <w:pPr>
        <w:pStyle w:val="Heading2"/>
      </w:pPr>
      <w:r>
        <w:rPr>
          <w:rFonts w:ascii="Arial" w:hAnsi="Arial" w:eastAsia="Microsoft YaHei"/>
          <w:sz w:val="28"/>
        </w:rPr>
        <w:t>7. OpenAPI 协作原则</w:t>
      </w:r>
    </w:p>
    <w:p>
      <w:pPr>
        <w:spacing w:after="120"/>
      </w:pPr>
      <w:r>
        <w:rPr>
          <w:rFonts w:ascii="Arial" w:hAnsi="Arial" w:eastAsia="Microsoft YaHei"/>
          <w:sz w:val="21"/>
        </w:rPr>
        <w:t xml:space="preserve">本次日志本身不修改 </w:t>
      </w:r>
      <w:r>
        <w:rPr>
          <w:rFonts w:ascii="Consolas" w:hAnsi="Consolas" w:eastAsia="Consolas"/>
          <w:sz w:val="21"/>
        </w:rPr>
        <w:t>docs/openapi.yaml</w:t>
      </w:r>
      <w:r>
        <w:rPr>
          <w:rFonts w:ascii="Arial" w:hAnsi="Arial" w:eastAsia="Microsoft YaHei"/>
          <w:sz w:val="21"/>
        </w:rPr>
        <w:t>，因为当前没有正式确认新增或变更接口。</w:t>
      </w:r>
    </w:p>
    <w:p>
      <w:pPr>
        <w:spacing w:after="120"/>
      </w:pPr>
      <w:r>
        <w:rPr>
          <w:rFonts w:ascii="Arial" w:hAnsi="Arial" w:eastAsia="Microsoft YaHei"/>
          <w:sz w:val="21"/>
        </w:rPr>
        <w:t>后续前端开发时，只要出现以下任一情况，必须同步更新 OpenAPI 文档：</w:t>
      </w:r>
    </w:p>
    <w:p>
      <w:pPr>
        <w:pStyle w:val="ListNumber"/>
      </w:pPr>
      <w:r>
        <w:rPr>
          <w:rFonts w:ascii="Arial" w:hAnsi="Arial" w:eastAsia="Microsoft YaHei"/>
          <w:sz w:val="20"/>
        </w:rPr>
        <w:t>新增接口。</w:t>
      </w:r>
    </w:p>
    <w:p>
      <w:pPr>
        <w:pStyle w:val="ListNumber"/>
      </w:pPr>
      <w:r>
        <w:rPr>
          <w:rFonts w:ascii="Arial" w:hAnsi="Arial" w:eastAsia="Microsoft YaHei"/>
          <w:sz w:val="20"/>
        </w:rPr>
        <w:t>删除接口。</w:t>
      </w:r>
    </w:p>
    <w:p>
      <w:pPr>
        <w:pStyle w:val="ListNumber"/>
      </w:pPr>
      <w:r>
        <w:rPr>
          <w:rFonts w:ascii="Arial" w:hAnsi="Arial" w:eastAsia="Microsoft YaHei"/>
          <w:sz w:val="20"/>
        </w:rPr>
        <w:t>修改 URL、HTTP 方法、参数、请求体、响应体、状态码。</w:t>
      </w:r>
    </w:p>
    <w:p>
      <w:pPr>
        <w:pStyle w:val="ListNumber"/>
      </w:pPr>
      <w:r>
        <w:rPr>
          <w:rFonts w:ascii="Arial" w:hAnsi="Arial" w:eastAsia="Microsoft YaHei"/>
          <w:sz w:val="20"/>
        </w:rPr>
        <w:t>修改认证、权限或错误返回行为。</w:t>
      </w:r>
    </w:p>
    <w:p>
      <w:pPr>
        <w:pStyle w:val="ListNumber"/>
      </w:pPr>
      <w:r>
        <w:rPr>
          <w:rFonts w:ascii="Arial" w:hAnsi="Arial" w:eastAsia="Microsoft YaHei"/>
          <w:sz w:val="20"/>
        </w:rPr>
        <w:t>前端新增字段依赖，且该字段需要后端正式返回。</w:t>
      </w:r>
    </w:p>
    <w:p>
      <w:pPr>
        <w:spacing w:after="120"/>
      </w:pPr>
      <w:r>
        <w:rPr>
          <w:rFonts w:ascii="Arial" w:hAnsi="Arial" w:eastAsia="Microsoft YaHei"/>
          <w:sz w:val="21"/>
        </w:rPr>
        <w:t>协作流程：</w:t>
      </w:r>
    </w:p>
    <w:p>
      <w:pPr>
        <w:pStyle w:val="ListNumber"/>
      </w:pPr>
      <w:r>
        <w:rPr>
          <w:rFonts w:ascii="Arial" w:hAnsi="Arial" w:eastAsia="Microsoft YaHei"/>
          <w:sz w:val="20"/>
        </w:rPr>
        <w:t>先在本日志“API 协作台账”登记需求和所属界面。</w:t>
      </w:r>
    </w:p>
    <w:p>
      <w:pPr>
        <w:pStyle w:val="ListNumber"/>
      </w:pPr>
      <w:r>
        <w:rPr>
          <w:rFonts w:ascii="Arial" w:hAnsi="Arial" w:eastAsia="Microsoft YaHei"/>
          <w:sz w:val="20"/>
        </w:rPr>
        <w:t>更新 [openapi.yaml](./openapi.yaml)，补齐 operationId、description、schema、错误响应和 security。</w:t>
      </w:r>
    </w:p>
    <w:p>
      <w:pPr>
        <w:pStyle w:val="ListNumber"/>
      </w:pPr>
      <w:r>
        <w:rPr>
          <w:rFonts w:ascii="Arial" w:hAnsi="Arial" w:eastAsia="Microsoft YaHei"/>
          <w:sz w:val="20"/>
        </w:rPr>
        <w:t>更新 [developer-guide.md](./developer-guide.md)，说明使用场景和权限。</w:t>
      </w:r>
    </w:p>
    <w:p>
      <w:pPr>
        <w:pStyle w:val="ListNumber"/>
      </w:pPr>
      <w:r>
        <w:rPr>
          <w:rFonts w:ascii="Arial" w:hAnsi="Arial" w:eastAsia="Microsoft YaHei"/>
          <w:sz w:val="20"/>
        </w:rPr>
        <w:t>运行前端 API 生成与校验命令：</w:t>
      </w:r>
      <w:r>
        <w:rPr>
          <w:rFonts w:ascii="Consolas" w:hAnsi="Consolas" w:eastAsia="Consolas"/>
          <w:sz w:val="20"/>
        </w:rPr>
        <w:t>pnpm run generate:api</w:t>
      </w:r>
      <w:r>
        <w:rPr>
          <w:rFonts w:ascii="Arial" w:hAnsi="Arial" w:eastAsia="Microsoft YaHei"/>
          <w:sz w:val="20"/>
        </w:rPr>
        <w:t>、</w:t>
      </w:r>
      <w:r>
        <w:rPr>
          <w:rFonts w:ascii="Consolas" w:hAnsi="Consolas" w:eastAsia="Consolas"/>
          <w:sz w:val="20"/>
        </w:rPr>
        <w:t>pnpm run check:api</w:t>
      </w:r>
      <w:r>
        <w:rPr>
          <w:rFonts w:ascii="Arial" w:hAnsi="Arial" w:eastAsia="Microsoft YaHei"/>
          <w:sz w:val="20"/>
        </w:rPr>
        <w:t>、</w:t>
      </w:r>
      <w:r>
        <w:rPr>
          <w:rFonts w:ascii="Consolas" w:hAnsi="Consolas" w:eastAsia="Consolas"/>
          <w:sz w:val="20"/>
        </w:rPr>
        <w:t>pnpm run api:docs</w:t>
      </w:r>
      <w:r>
        <w:rPr>
          <w:rFonts w:ascii="Arial" w:hAnsi="Arial" w:eastAsia="Microsoft YaHei"/>
          <w:sz w:val="20"/>
        </w:rPr>
        <w:t>、</w:t>
      </w:r>
      <w:r>
        <w:rPr>
          <w:rFonts w:ascii="Consolas" w:hAnsi="Consolas" w:eastAsia="Consolas"/>
          <w:sz w:val="20"/>
        </w:rPr>
        <w:t>pnpm run api:lint</w:t>
      </w:r>
      <w:r>
        <w:rPr>
          <w:rFonts w:ascii="Arial" w:hAnsi="Arial" w:eastAsia="Microsoft YaHei"/>
          <w:sz w:val="20"/>
        </w:rPr>
        <w:t>。</w:t>
      </w:r>
    </w:p>
    <w:p>
      <w:pPr>
        <w:pStyle w:val="ListNumber"/>
      </w:pPr>
      <w:r>
        <w:rPr>
          <w:rFonts w:ascii="Arial" w:hAnsi="Arial" w:eastAsia="Microsoft YaHei"/>
          <w:sz w:val="20"/>
        </w:rPr>
        <w:t xml:space="preserve">前端通过 </w:t>
      </w:r>
      <w:r>
        <w:rPr>
          <w:rFonts w:ascii="Consolas" w:hAnsi="Consolas" w:eastAsia="Consolas"/>
          <w:sz w:val="20"/>
        </w:rPr>
        <w:t>frontend/src/api/client.ts</w:t>
      </w:r>
      <w:r>
        <w:rPr>
          <w:rFonts w:ascii="Arial" w:hAnsi="Arial" w:eastAsia="Microsoft YaHei"/>
          <w:sz w:val="20"/>
        </w:rPr>
        <w:t xml:space="preserve"> 接入，不手写重复 DTO。</w:t>
      </w:r>
    </w:p>
    <w:p>
      <w:pPr>
        <w:pStyle w:val="ListNumber"/>
      </w:pPr>
      <w:r>
        <w:rPr>
          <w:rFonts w:ascii="Arial" w:hAnsi="Arial" w:eastAsia="Microsoft YaHei"/>
          <w:sz w:val="20"/>
        </w:rPr>
        <w:t>后端工程师按 OpenAPI 契约实现接口。</w:t>
      </w:r>
    </w:p>
    <w:p>
      <w:pPr>
        <w:pStyle w:val="Heading2"/>
      </w:pPr>
      <w:r>
        <w:rPr>
          <w:rFonts w:ascii="Arial" w:hAnsi="Arial" w:eastAsia="Microsoft YaHei"/>
          <w:sz w:val="28"/>
        </w:rPr>
        <w:t>8. API 协作台账</w:t>
      </w:r>
    </w:p>
    <w:p>
      <w:pPr>
        <w:spacing w:after="120"/>
      </w:pPr>
      <w:r>
        <w:rPr>
          <w:rFonts w:ascii="Arial" w:hAnsi="Arial" w:eastAsia="Microsoft YaHei"/>
          <w:sz w:val="21"/>
        </w:rPr>
        <w:t xml:space="preserve">以下条目是前端设计阶段发现的潜在接口需求，不代表已经变更 OpenAPI。只有进入“已确认”状态后，才更新 </w:t>
      </w:r>
      <w:r>
        <w:rPr>
          <w:rFonts w:ascii="Consolas" w:hAnsi="Consolas" w:eastAsia="Consolas"/>
          <w:sz w:val="21"/>
        </w:rPr>
        <w:t>docs/openapi.yaml</w:t>
      </w:r>
      <w:r>
        <w:rPr>
          <w:rFonts w:ascii="Arial" w:hAnsi="Arial" w:eastAsia="Microsoft YaHei"/>
          <w:sz w:val="21"/>
        </w:rPr>
        <w:t xml:space="preserve"> 和 </w:t>
      </w:r>
      <w:r>
        <w:rPr>
          <w:rFonts w:ascii="Consolas" w:hAnsi="Consolas" w:eastAsia="Consolas"/>
          <w:sz w:val="21"/>
        </w:rPr>
        <w:t>docs/developer-guide.md</w:t>
      </w:r>
      <w:r>
        <w:rPr>
          <w:rFonts w:ascii="Arial" w:hAnsi="Arial" w:eastAsia="Microsoft YaHei"/>
          <w:sz w:val="21"/>
        </w:rPr>
        <w:t>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7"/>
        <w:gridCol w:w="2357"/>
        <w:gridCol w:w="2357"/>
        <w:gridCol w:w="2357"/>
        <w:gridCol w:w="2357"/>
        <w:gridCol w:w="2357"/>
      </w:tblGrid>
      <w:tr>
        <w:tc>
          <w:tcPr>
            <w:tcW w:type="dxa" w:w="2357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6"/>
              </w:rPr>
              <w:t>编号</w:t>
            </w:r>
          </w:p>
        </w:tc>
        <w:tc>
          <w:tcPr>
            <w:tcW w:type="dxa" w:w="2357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6"/>
              </w:rPr>
              <w:t>潜在需求</w:t>
            </w:r>
          </w:p>
        </w:tc>
        <w:tc>
          <w:tcPr>
            <w:tcW w:type="dxa" w:w="2357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6"/>
              </w:rPr>
              <w:t>涉及界面</w:t>
            </w:r>
          </w:p>
        </w:tc>
        <w:tc>
          <w:tcPr>
            <w:tcW w:type="dxa" w:w="2357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6"/>
              </w:rPr>
              <w:t>当前接口是否已覆盖</w:t>
            </w:r>
          </w:p>
        </w:tc>
        <w:tc>
          <w:tcPr>
            <w:tcW w:type="dxa" w:w="2357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6"/>
              </w:rPr>
              <w:t>建议处理</w:t>
            </w:r>
          </w:p>
        </w:tc>
        <w:tc>
          <w:tcPr>
            <w:tcW w:type="dxa" w:w="2357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6"/>
              </w:rPr>
              <w:t>状态</w:t>
            </w:r>
          </w:p>
        </w:tc>
      </w:tr>
      <w:tr>
        <w:tc>
          <w:tcPr>
            <w:tcW w:type="dxa" w:w="235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API-01</w:t>
            </w:r>
          </w:p>
        </w:tc>
        <w:tc>
          <w:tcPr>
            <w:tcW w:type="dxa" w:w="235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主界面生态态势指标：生态健康指数、NDVI 趋势、水分指数、风险面积、站点在线率</w:t>
            </w:r>
          </w:p>
        </w:tc>
        <w:tc>
          <w:tcPr>
            <w:tcW w:type="dxa" w:w="235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F02、右侧栏</w:t>
            </w:r>
          </w:p>
        </w:tc>
        <w:tc>
          <w:tcPr>
            <w:tcW w:type="dxa" w:w="235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当前无专用普通用户概览接口；后台 Dashboard 仅覆盖管理统计</w:t>
            </w:r>
          </w:p>
        </w:tc>
        <w:tc>
          <w:tcPr>
            <w:tcW w:type="dxa" w:w="235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第一阶段可使用静态占位或从已有资源数据推导；确认真实指标后新增概览接口</w:t>
            </w:r>
          </w:p>
        </w:tc>
        <w:tc>
          <w:tcPr>
            <w:tcW w:type="dxa" w:w="235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待确认</w:t>
            </w:r>
          </w:p>
        </w:tc>
      </w:tr>
      <w:tr>
        <w:tc>
          <w:tcPr>
            <w:tcW w:type="dxa" w:w="235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API-02</w:t>
            </w:r>
          </w:p>
        </w:tc>
        <w:tc>
          <w:tcPr>
            <w:tcW w:type="dxa" w:w="235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专题场景与推荐图层组合：胡杨分布、水文生态、遥感影像、野外监测</w:t>
            </w:r>
          </w:p>
        </w:tc>
        <w:tc>
          <w:tcPr>
            <w:tcW w:type="dxa" w:w="235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F02、左侧专题 Tab</w:t>
            </w:r>
          </w:p>
        </w:tc>
        <w:tc>
          <w:tcPr>
            <w:tcW w:type="dxa" w:w="235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当前可通过资源分类推导，但没有“专题场景”实体接口</w:t>
            </w:r>
          </w:p>
        </w:tc>
        <w:tc>
          <w:tcPr>
            <w:tcW w:type="dxa" w:w="235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若需要后台维护专题组合，新增专题场景列表/详情接口</w:t>
            </w:r>
          </w:p>
        </w:tc>
        <w:tc>
          <w:tcPr>
            <w:tcW w:type="dxa" w:w="235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待确认</w:t>
            </w:r>
          </w:p>
        </w:tc>
      </w:tr>
      <w:tr>
        <w:tc>
          <w:tcPr>
            <w:tcW w:type="dxa" w:w="235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API-03</w:t>
            </w:r>
          </w:p>
        </w:tc>
        <w:tc>
          <w:tcPr>
            <w:tcW w:type="dxa" w:w="235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数据资源中心顶部统计：资源总量、可渲染、可查询、权限受限、今日更新</w:t>
            </w:r>
          </w:p>
        </w:tc>
        <w:tc>
          <w:tcPr>
            <w:tcW w:type="dxa" w:w="235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F03</w:t>
            </w:r>
          </w:p>
        </w:tc>
        <w:tc>
          <w:tcPr>
            <w:tcW w:type="dxa" w:w="235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资源列表可部分推导，权限受限和今日更新可能不完整</w:t>
            </w:r>
          </w:p>
        </w:tc>
        <w:tc>
          <w:tcPr>
            <w:tcW w:type="dxa" w:w="235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先前端从分页结果和筛选条件推导；需要全量准确统计时新增资源统计接口</w:t>
            </w:r>
          </w:p>
        </w:tc>
        <w:tc>
          <w:tcPr>
            <w:tcW w:type="dxa" w:w="235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待确认</w:t>
            </w:r>
          </w:p>
        </w:tc>
      </w:tr>
      <w:tr>
        <w:tc>
          <w:tcPr>
            <w:tcW w:type="dxa" w:w="235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API-04</w:t>
            </w:r>
          </w:p>
        </w:tc>
        <w:tc>
          <w:tcPr>
            <w:tcW w:type="dxa" w:w="235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非地理数据分析：表格字段分布、分组统计、相关性、基因热力图数据</w:t>
            </w:r>
          </w:p>
        </w:tc>
        <w:tc>
          <w:tcPr>
            <w:tcW w:type="dxa" w:w="235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F04</w:t>
            </w:r>
          </w:p>
        </w:tc>
        <w:tc>
          <w:tcPr>
            <w:tcW w:type="dxa" w:w="235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现有资源接口能列出数据，但不提供通用非地理分析查询</w:t>
            </w:r>
          </w:p>
        </w:tc>
        <w:tc>
          <w:tcPr>
            <w:tcW w:type="dxa" w:w="235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非地理页第一阶段做资源总览；高级分析需独立接口设计</w:t>
            </w:r>
          </w:p>
        </w:tc>
        <w:tc>
          <w:tcPr>
            <w:tcW w:type="dxa" w:w="235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待确认</w:t>
            </w:r>
          </w:p>
        </w:tc>
      </w:tr>
      <w:tr>
        <w:tc>
          <w:tcPr>
            <w:tcW w:type="dxa" w:w="235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API-05</w:t>
            </w:r>
          </w:p>
        </w:tc>
        <w:tc>
          <w:tcPr>
            <w:tcW w:type="dxa" w:w="235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成果详情、附件预览、成果关联图层加载</w:t>
            </w:r>
          </w:p>
        </w:tc>
        <w:tc>
          <w:tcPr>
            <w:tcW w:type="dxa" w:w="235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F05</w:t>
            </w:r>
          </w:p>
        </w:tc>
        <w:tc>
          <w:tcPr>
            <w:tcW w:type="dxa" w:w="235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现有 `/api/achievements/` 为列表；详情深度能力待确认</w:t>
            </w:r>
          </w:p>
        </w:tc>
        <w:tc>
          <w:tcPr>
            <w:tcW w:type="dxa" w:w="235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第一阶段可用列表；需要详情页时新增详情接口或扩展列表字段</w:t>
            </w:r>
          </w:p>
        </w:tc>
        <w:tc>
          <w:tcPr>
            <w:tcW w:type="dxa" w:w="235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待确认</w:t>
            </w:r>
          </w:p>
        </w:tc>
      </w:tr>
      <w:tr>
        <w:tc>
          <w:tcPr>
            <w:tcW w:type="dxa" w:w="235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API-06</w:t>
            </w:r>
          </w:p>
        </w:tc>
        <w:tc>
          <w:tcPr>
            <w:tcW w:type="dxa" w:w="235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全局搜索建议和分组搜索结果高亮</w:t>
            </w:r>
          </w:p>
        </w:tc>
        <w:tc>
          <w:tcPr>
            <w:tcW w:type="dxa" w:w="235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F02、F05</w:t>
            </w:r>
          </w:p>
        </w:tc>
        <w:tc>
          <w:tcPr>
            <w:tcW w:type="dxa" w:w="235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`/api/search/` 可搜索资源和成果，不提供建议</w:t>
            </w:r>
          </w:p>
        </w:tc>
        <w:tc>
          <w:tcPr>
            <w:tcW w:type="dxa" w:w="235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第一阶段使用普通搜索；建议能力后续再提</w:t>
            </w:r>
          </w:p>
        </w:tc>
        <w:tc>
          <w:tcPr>
            <w:tcW w:type="dxa" w:w="235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待确认</w:t>
            </w:r>
          </w:p>
        </w:tc>
      </w:tr>
      <w:tr>
        <w:tc>
          <w:tcPr>
            <w:tcW w:type="dxa" w:w="235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API-07</w:t>
            </w:r>
          </w:p>
        </w:tc>
        <w:tc>
          <w:tcPr>
            <w:tcW w:type="dxa" w:w="235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监测站、样方、遥感任务队列与异常指标</w:t>
            </w:r>
          </w:p>
        </w:tc>
        <w:tc>
          <w:tcPr>
            <w:tcW w:type="dxa" w:w="235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F02、右侧监测 Tab</w:t>
            </w:r>
          </w:p>
        </w:tc>
        <w:tc>
          <w:tcPr>
            <w:tcW w:type="dxa" w:w="235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当前无监测专用接口</w:t>
            </w:r>
          </w:p>
        </w:tc>
        <w:tc>
          <w:tcPr>
            <w:tcW w:type="dxa" w:w="235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若后端暂无业务数据，先保留静态空状态和接口占位说明</w:t>
            </w:r>
          </w:p>
        </w:tc>
        <w:tc>
          <w:tcPr>
            <w:tcW w:type="dxa" w:w="235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待确认</w:t>
            </w:r>
          </w:p>
        </w:tc>
      </w:tr>
      <w:tr>
        <w:tc>
          <w:tcPr>
            <w:tcW w:type="dxa" w:w="235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API-08</w:t>
            </w:r>
          </w:p>
        </w:tc>
        <w:tc>
          <w:tcPr>
            <w:tcW w:type="dxa" w:w="235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时间轴批次、多年份对比、事件带</w:t>
            </w:r>
          </w:p>
        </w:tc>
        <w:tc>
          <w:tcPr>
            <w:tcW w:type="dxa" w:w="235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F02、底部时间 Tab</w:t>
            </w:r>
          </w:p>
        </w:tc>
        <w:tc>
          <w:tcPr>
            <w:tcW w:type="dxa" w:w="235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当前资源有日期字段，缺少时间序列聚合接口</w:t>
            </w:r>
          </w:p>
        </w:tc>
        <w:tc>
          <w:tcPr>
            <w:tcW w:type="dxa" w:w="235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第一阶段按资源日期做轻量展示；高级对比再设计 API</w:t>
            </w:r>
          </w:p>
        </w:tc>
        <w:tc>
          <w:tcPr>
            <w:tcW w:type="dxa" w:w="235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待确认</w:t>
            </w:r>
          </w:p>
        </w:tc>
      </w:tr>
    </w:tbl>
    <w:p/>
    <w:p>
      <w:pPr>
        <w:pStyle w:val="Heading2"/>
      </w:pPr>
      <w:r>
        <w:rPr>
          <w:rFonts w:ascii="Arial" w:hAnsi="Arial" w:eastAsia="Microsoft YaHei"/>
          <w:sz w:val="28"/>
        </w:rPr>
        <w:t>9. 开发阶段进度日志</w:t>
      </w:r>
    </w:p>
    <w:p>
      <w:pPr>
        <w:pStyle w:val="Heading3"/>
      </w:pPr>
      <w:r>
        <w:rPr>
          <w:rFonts w:ascii="Arial" w:hAnsi="Arial" w:eastAsia="Microsoft YaHei"/>
          <w:sz w:val="24"/>
        </w:rPr>
        <w:t>P0 页面梳理与协作基线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6"/>
              </w:rPr>
              <w:t>任务</w:t>
            </w:r>
          </w:p>
        </w:tc>
        <w:tc>
          <w:tcPr>
            <w:tcW w:type="dxa" w:w="282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6"/>
              </w:rPr>
              <w:t>内容</w:t>
            </w:r>
          </w:p>
        </w:tc>
        <w:tc>
          <w:tcPr>
            <w:tcW w:type="dxa" w:w="282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6"/>
              </w:rPr>
              <w:t>API 影响</w:t>
            </w:r>
          </w:p>
        </w:tc>
        <w:tc>
          <w:tcPr>
            <w:tcW w:type="dxa" w:w="282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6"/>
              </w:rPr>
              <w:t>验收标准</w:t>
            </w:r>
          </w:p>
        </w:tc>
        <w:tc>
          <w:tcPr>
            <w:tcW w:type="dxa" w:w="282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6"/>
              </w:rPr>
              <w:t>状态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P0-01</w:t>
            </w:r>
          </w:p>
        </w:tc>
        <w:tc>
          <w:tcPr>
            <w:tcW w:type="dxa" w:w="28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建立前端界面清单、页面关系和开发日志</w:t>
            </w:r>
          </w:p>
        </w:tc>
        <w:tc>
          <w:tcPr>
            <w:tcW w:type="dxa" w:w="28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无</w:t>
            </w:r>
          </w:p>
        </w:tc>
        <w:tc>
          <w:tcPr>
            <w:tcW w:type="dxa" w:w="28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本文档完成并可作为任务看板使用</w:t>
            </w:r>
          </w:p>
        </w:tc>
        <w:tc>
          <w:tcPr>
            <w:tcW w:type="dxa" w:w="28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已完成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P0-02</w:t>
            </w:r>
          </w:p>
        </w:tc>
        <w:tc>
          <w:tcPr>
            <w:tcW w:type="dxa" w:w="28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确认前端开发边界：只改前端代码和接口文档，不改后端实现</w:t>
            </w:r>
          </w:p>
        </w:tc>
        <w:tc>
          <w:tcPr>
            <w:tcW w:type="dxa" w:w="28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无</w:t>
            </w:r>
          </w:p>
        </w:tc>
        <w:tc>
          <w:tcPr>
            <w:tcW w:type="dxa" w:w="28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后续任务遵循前后端分离协作流程</w:t>
            </w:r>
          </w:p>
        </w:tc>
        <w:tc>
          <w:tcPr>
            <w:tcW w:type="dxa" w:w="28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已完成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P0-03</w:t>
            </w:r>
          </w:p>
        </w:tc>
        <w:tc>
          <w:tcPr>
            <w:tcW w:type="dxa" w:w="28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明确主界面视觉参考转化规则</w:t>
            </w:r>
          </w:p>
        </w:tc>
        <w:tc>
          <w:tcPr>
            <w:tcW w:type="dxa" w:w="28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无</w:t>
            </w:r>
          </w:p>
        </w:tc>
        <w:tc>
          <w:tcPr>
            <w:tcW w:type="dxa" w:w="28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只借鉴布局和组件关系，不复用外部品牌和素材</w:t>
            </w:r>
          </w:p>
        </w:tc>
        <w:tc>
          <w:tcPr>
            <w:tcW w:type="dxa" w:w="28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已完成</w:t>
            </w:r>
          </w:p>
        </w:tc>
      </w:tr>
    </w:tbl>
    <w:p/>
    <w:p>
      <w:pPr>
        <w:pStyle w:val="Heading3"/>
      </w:pPr>
      <w:r>
        <w:rPr>
          <w:rFonts w:ascii="Arial" w:hAnsi="Arial" w:eastAsia="Microsoft YaHei"/>
          <w:sz w:val="24"/>
        </w:rPr>
        <w:t>P1 前端设计系统与全局框架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6"/>
              </w:rPr>
              <w:t>任务</w:t>
            </w:r>
          </w:p>
        </w:tc>
        <w:tc>
          <w:tcPr>
            <w:tcW w:type="dxa" w:w="282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6"/>
              </w:rPr>
              <w:t>内容</w:t>
            </w:r>
          </w:p>
        </w:tc>
        <w:tc>
          <w:tcPr>
            <w:tcW w:type="dxa" w:w="282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6"/>
              </w:rPr>
              <w:t>API 影响</w:t>
            </w:r>
          </w:p>
        </w:tc>
        <w:tc>
          <w:tcPr>
            <w:tcW w:type="dxa" w:w="282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6"/>
              </w:rPr>
              <w:t>验收标准</w:t>
            </w:r>
          </w:p>
        </w:tc>
        <w:tc>
          <w:tcPr>
            <w:tcW w:type="dxa" w:w="282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6"/>
              </w:rPr>
              <w:t>状态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P1-01</w:t>
            </w:r>
          </w:p>
        </w:tc>
        <w:tc>
          <w:tcPr>
            <w:tcW w:type="dxa" w:w="28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梳理颜色、字体、间距、面板、按钮、图表主题 token</w:t>
            </w:r>
          </w:p>
        </w:tc>
        <w:tc>
          <w:tcPr>
            <w:tcW w:type="dxa" w:w="28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无</w:t>
            </w:r>
          </w:p>
        </w:tc>
        <w:tc>
          <w:tcPr>
            <w:tcW w:type="dxa" w:w="28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形成统一 CSS 变量或主题配置，避免单一色调</w:t>
            </w:r>
          </w:p>
        </w:tc>
        <w:tc>
          <w:tcPr>
            <w:tcW w:type="dxa" w:w="28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未开始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P1-02</w:t>
            </w:r>
          </w:p>
        </w:tc>
        <w:tc>
          <w:tcPr>
            <w:tcW w:type="dxa" w:w="28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统一路由转场、加载态、空状态、错误态</w:t>
            </w:r>
          </w:p>
        </w:tc>
        <w:tc>
          <w:tcPr>
            <w:tcW w:type="dxa" w:w="28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无</w:t>
            </w:r>
          </w:p>
        </w:tc>
        <w:tc>
          <w:tcPr>
            <w:tcW w:type="dxa" w:w="28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登录、地图、后台页面状态一致</w:t>
            </w:r>
          </w:p>
        </w:tc>
        <w:tc>
          <w:tcPr>
            <w:tcW w:type="dxa" w:w="28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未开始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P1-03</w:t>
            </w:r>
          </w:p>
        </w:tc>
        <w:tc>
          <w:tcPr>
            <w:tcW w:type="dxa" w:w="28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抽象顶部全局导航</w:t>
            </w:r>
          </w:p>
        </w:tc>
        <w:tc>
          <w:tcPr>
            <w:tcW w:type="dxa" w:w="28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可能使用 `/api/search/`</w:t>
            </w:r>
          </w:p>
        </w:tc>
        <w:tc>
          <w:tcPr>
            <w:tcW w:type="dxa" w:w="28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地理、非地理、成果、后台入口统一</w:t>
            </w:r>
          </w:p>
        </w:tc>
        <w:tc>
          <w:tcPr>
            <w:tcW w:type="dxa" w:w="28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未开始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P1-04</w:t>
            </w:r>
          </w:p>
        </w:tc>
        <w:tc>
          <w:tcPr>
            <w:tcW w:type="dxa" w:w="28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增加成果目录前端路由 `/achievements`</w:t>
            </w:r>
          </w:p>
        </w:tc>
        <w:tc>
          <w:tcPr>
            <w:tcW w:type="dxa" w:w="28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使用现有成果接口</w:t>
            </w:r>
          </w:p>
        </w:tc>
        <w:tc>
          <w:tcPr>
            <w:tcW w:type="dxa" w:w="28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`/achievements` 可从顶部导航进入</w:t>
            </w:r>
          </w:p>
        </w:tc>
        <w:tc>
          <w:tcPr>
            <w:tcW w:type="dxa" w:w="28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未开始</w:t>
            </w:r>
          </w:p>
        </w:tc>
      </w:tr>
    </w:tbl>
    <w:p/>
    <w:p>
      <w:pPr>
        <w:pStyle w:val="Heading3"/>
      </w:pPr>
      <w:r>
        <w:rPr>
          <w:rFonts w:ascii="Arial" w:hAnsi="Arial" w:eastAsia="Microsoft YaHei"/>
          <w:sz w:val="24"/>
        </w:rPr>
        <w:t>P2 登录页重设计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6"/>
              </w:rPr>
              <w:t>任务</w:t>
            </w:r>
          </w:p>
        </w:tc>
        <w:tc>
          <w:tcPr>
            <w:tcW w:type="dxa" w:w="282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6"/>
              </w:rPr>
              <w:t>内容</w:t>
            </w:r>
          </w:p>
        </w:tc>
        <w:tc>
          <w:tcPr>
            <w:tcW w:type="dxa" w:w="282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6"/>
              </w:rPr>
              <w:t>API 影响</w:t>
            </w:r>
          </w:p>
        </w:tc>
        <w:tc>
          <w:tcPr>
            <w:tcW w:type="dxa" w:w="282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6"/>
              </w:rPr>
              <w:t>验收标准</w:t>
            </w:r>
          </w:p>
        </w:tc>
        <w:tc>
          <w:tcPr>
            <w:tcW w:type="dxa" w:w="282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6"/>
              </w:rPr>
              <w:t>状态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P2-01</w:t>
            </w:r>
          </w:p>
        </w:tc>
        <w:tc>
          <w:tcPr>
            <w:tcW w:type="dxa" w:w="28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重构登录页布局为左视觉 + 右表单</w:t>
            </w:r>
          </w:p>
        </w:tc>
        <w:tc>
          <w:tcPr>
            <w:tcW w:type="dxa" w:w="28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无</w:t>
            </w:r>
          </w:p>
        </w:tc>
        <w:tc>
          <w:tcPr>
            <w:tcW w:type="dxa" w:w="28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桌面和常见小屏不溢出</w:t>
            </w:r>
          </w:p>
        </w:tc>
        <w:tc>
          <w:tcPr>
            <w:tcW w:type="dxa" w:w="28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未开始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P2-02</w:t>
            </w:r>
          </w:p>
        </w:tc>
        <w:tc>
          <w:tcPr>
            <w:tcW w:type="dxa" w:w="28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保留登录、注册、记住登录、错误提示逻辑</w:t>
            </w:r>
          </w:p>
        </w:tc>
        <w:tc>
          <w:tcPr>
            <w:tcW w:type="dxa" w:w="28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无</w:t>
            </w:r>
          </w:p>
        </w:tc>
        <w:tc>
          <w:tcPr>
            <w:tcW w:type="dxa" w:w="28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现有认证测试通过</w:t>
            </w:r>
          </w:p>
        </w:tc>
        <w:tc>
          <w:tcPr>
            <w:tcW w:type="dxa" w:w="28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未开始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P2-03</w:t>
            </w:r>
          </w:p>
        </w:tc>
        <w:tc>
          <w:tcPr>
            <w:tcW w:type="dxa" w:w="28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增加生态数据氛围元素和轻量指标</w:t>
            </w:r>
          </w:p>
        </w:tc>
        <w:tc>
          <w:tcPr>
            <w:tcW w:type="dxa" w:w="28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API-01 可选</w:t>
            </w:r>
          </w:p>
        </w:tc>
        <w:tc>
          <w:tcPr>
            <w:tcW w:type="dxa" w:w="28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没有真实数据时使用明确空态或占位文案</w:t>
            </w:r>
          </w:p>
        </w:tc>
        <w:tc>
          <w:tcPr>
            <w:tcW w:type="dxa" w:w="28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未开始</w:t>
            </w:r>
          </w:p>
        </w:tc>
      </w:tr>
    </w:tbl>
    <w:p/>
    <w:p>
      <w:pPr>
        <w:pStyle w:val="Heading3"/>
      </w:pPr>
      <w:r>
        <w:rPr>
          <w:rFonts w:ascii="Arial" w:hAnsi="Arial" w:eastAsia="Microsoft YaHei"/>
          <w:sz w:val="24"/>
        </w:rPr>
        <w:t>P3 三维地球主界面视觉框架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6"/>
              </w:rPr>
              <w:t>任务</w:t>
            </w:r>
          </w:p>
        </w:tc>
        <w:tc>
          <w:tcPr>
            <w:tcW w:type="dxa" w:w="282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6"/>
              </w:rPr>
              <w:t>内容</w:t>
            </w:r>
          </w:p>
        </w:tc>
        <w:tc>
          <w:tcPr>
            <w:tcW w:type="dxa" w:w="282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6"/>
              </w:rPr>
              <w:t>API 影响</w:t>
            </w:r>
          </w:p>
        </w:tc>
        <w:tc>
          <w:tcPr>
            <w:tcW w:type="dxa" w:w="282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6"/>
              </w:rPr>
              <w:t>验收标准</w:t>
            </w:r>
          </w:p>
        </w:tc>
        <w:tc>
          <w:tcPr>
            <w:tcW w:type="dxa" w:w="282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6"/>
              </w:rPr>
              <w:t>状态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P3-01</w:t>
            </w:r>
          </w:p>
        </w:tc>
        <w:tc>
          <w:tcPr>
            <w:tcW w:type="dxa" w:w="28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重构 `/map` 顶部导航、左右侧栏、底部栏、中央地图层级</w:t>
            </w:r>
          </w:p>
        </w:tc>
        <w:tc>
          <w:tcPr>
            <w:tcW w:type="dxa" w:w="28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无</w:t>
            </w:r>
          </w:p>
        </w:tc>
        <w:tc>
          <w:tcPr>
            <w:tcW w:type="dxa" w:w="28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保留原左右下栏设计，并提升沉浸感</w:t>
            </w:r>
          </w:p>
        </w:tc>
        <w:tc>
          <w:tcPr>
            <w:tcW w:type="dxa" w:w="28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未开始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P3-02</w:t>
            </w:r>
          </w:p>
        </w:tc>
        <w:tc>
          <w:tcPr>
            <w:tcW w:type="dxa" w:w="28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地图控件组改造：复位、定位、底图、全屏、测量、绘制</w:t>
            </w:r>
          </w:p>
        </w:tc>
        <w:tc>
          <w:tcPr>
            <w:tcW w:type="dxa" w:w="28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无</w:t>
            </w:r>
          </w:p>
        </w:tc>
        <w:tc>
          <w:tcPr>
            <w:tcW w:type="dxa" w:w="28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控件稳定、不遮挡地图内容</w:t>
            </w:r>
          </w:p>
        </w:tc>
        <w:tc>
          <w:tcPr>
            <w:tcW w:type="dxa" w:w="28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未开始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P3-03</w:t>
            </w:r>
          </w:p>
        </w:tc>
        <w:tc>
          <w:tcPr>
            <w:tcW w:type="dxa" w:w="28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坐标、比例尺、视角高度状态栏</w:t>
            </w:r>
          </w:p>
        </w:tc>
        <w:tc>
          <w:tcPr>
            <w:tcW w:type="dxa" w:w="28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无</w:t>
            </w:r>
          </w:p>
        </w:tc>
        <w:tc>
          <w:tcPr>
            <w:tcW w:type="dxa" w:w="28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地图移动时状态及时更新</w:t>
            </w:r>
          </w:p>
        </w:tc>
        <w:tc>
          <w:tcPr>
            <w:tcW w:type="dxa" w:w="28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未开始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P3-04</w:t>
            </w:r>
          </w:p>
        </w:tc>
        <w:tc>
          <w:tcPr>
            <w:tcW w:type="dxa" w:w="28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主界面响应式与面板折叠</w:t>
            </w:r>
          </w:p>
        </w:tc>
        <w:tc>
          <w:tcPr>
            <w:tcW w:type="dxa" w:w="28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无</w:t>
            </w:r>
          </w:p>
        </w:tc>
        <w:tc>
          <w:tcPr>
            <w:tcW w:type="dxa" w:w="28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左、右、下栏均可折叠，地图区域稳定</w:t>
            </w:r>
          </w:p>
        </w:tc>
        <w:tc>
          <w:tcPr>
            <w:tcW w:type="dxa" w:w="28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未开始</w:t>
            </w:r>
          </w:p>
        </w:tc>
      </w:tr>
    </w:tbl>
    <w:p/>
    <w:p>
      <w:pPr>
        <w:pStyle w:val="Heading3"/>
      </w:pPr>
      <w:r>
        <w:rPr>
          <w:rFonts w:ascii="Arial" w:hAnsi="Arial" w:eastAsia="Microsoft YaHei"/>
          <w:sz w:val="24"/>
        </w:rPr>
        <w:t>P4 左侧栏与数据资源中心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6"/>
              </w:rPr>
              <w:t>任务</w:t>
            </w:r>
          </w:p>
        </w:tc>
        <w:tc>
          <w:tcPr>
            <w:tcW w:type="dxa" w:w="282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6"/>
              </w:rPr>
              <w:t>内容</w:t>
            </w:r>
          </w:p>
        </w:tc>
        <w:tc>
          <w:tcPr>
            <w:tcW w:type="dxa" w:w="282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6"/>
              </w:rPr>
              <w:t>API 影响</w:t>
            </w:r>
          </w:p>
        </w:tc>
        <w:tc>
          <w:tcPr>
            <w:tcW w:type="dxa" w:w="282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6"/>
              </w:rPr>
              <w:t>验收标准</w:t>
            </w:r>
          </w:p>
        </w:tc>
        <w:tc>
          <w:tcPr>
            <w:tcW w:type="dxa" w:w="282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6"/>
              </w:rPr>
              <w:t>状态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P4-01</w:t>
            </w:r>
          </w:p>
        </w:tc>
        <w:tc>
          <w:tcPr>
            <w:tcW w:type="dxa" w:w="28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左侧栏改为 `数据 / 图层 / 专题` Tabs</w:t>
            </w:r>
          </w:p>
        </w:tc>
        <w:tc>
          <w:tcPr>
            <w:tcW w:type="dxa" w:w="28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API-02 可选</w:t>
            </w:r>
          </w:p>
        </w:tc>
        <w:tc>
          <w:tcPr>
            <w:tcW w:type="dxa" w:w="28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数据检索和图层管理边界清晰</w:t>
            </w:r>
          </w:p>
        </w:tc>
        <w:tc>
          <w:tcPr>
            <w:tcW w:type="dxa" w:w="28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未开始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P4-02</w:t>
            </w:r>
          </w:p>
        </w:tc>
        <w:tc>
          <w:tcPr>
            <w:tcW w:type="dxa" w:w="28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数据 Tab：检索、筛选、资源摘要、加载按钮</w:t>
            </w:r>
          </w:p>
        </w:tc>
        <w:tc>
          <w:tcPr>
            <w:tcW w:type="dxa" w:w="28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复用资源接口</w:t>
            </w:r>
          </w:p>
        </w:tc>
        <w:tc>
          <w:tcPr>
            <w:tcW w:type="dxa" w:w="28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能从资源列表加载矢量/栅格</w:t>
            </w:r>
          </w:p>
        </w:tc>
        <w:tc>
          <w:tcPr>
            <w:tcW w:type="dxa" w:w="28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未开始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P4-03</w:t>
            </w:r>
          </w:p>
        </w:tc>
        <w:tc>
          <w:tcPr>
            <w:tcW w:type="dxa" w:w="28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图层 Tab：图层树、显隐、透明度、顺序、定位、导出</w:t>
            </w:r>
          </w:p>
        </w:tc>
        <w:tc>
          <w:tcPr>
            <w:tcW w:type="dxa" w:w="28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复用图层和导出接口</w:t>
            </w:r>
          </w:p>
        </w:tc>
        <w:tc>
          <w:tcPr>
            <w:tcW w:type="dxa" w:w="28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图层操作目标不超过 500ms</w:t>
            </w:r>
          </w:p>
        </w:tc>
        <w:tc>
          <w:tcPr>
            <w:tcW w:type="dxa" w:w="28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未开始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P4-04</w:t>
            </w:r>
          </w:p>
        </w:tc>
        <w:tc>
          <w:tcPr>
            <w:tcW w:type="dxa" w:w="28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专题 Tab：专题卡片、一键加载、完整度</w:t>
            </w:r>
          </w:p>
        </w:tc>
        <w:tc>
          <w:tcPr>
            <w:tcW w:type="dxa" w:w="28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API-02 可选</w:t>
            </w:r>
          </w:p>
        </w:tc>
        <w:tc>
          <w:tcPr>
            <w:tcW w:type="dxa" w:w="28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无真实专题时使用资源分类推导</w:t>
            </w:r>
          </w:p>
        </w:tc>
        <w:tc>
          <w:tcPr>
            <w:tcW w:type="dxa" w:w="28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未开始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P4-05</w:t>
            </w:r>
          </w:p>
        </w:tc>
        <w:tc>
          <w:tcPr>
            <w:tcW w:type="dxa" w:w="28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数据资源中心宽弹层</w:t>
            </w:r>
          </w:p>
        </w:tc>
        <w:tc>
          <w:tcPr>
            <w:tcW w:type="dxa" w:w="28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API-03 可选</w:t>
            </w:r>
          </w:p>
        </w:tc>
        <w:tc>
          <w:tcPr>
            <w:tcW w:type="dxa" w:w="28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筛选、列表、详情、加载闭环可用</w:t>
            </w:r>
          </w:p>
        </w:tc>
        <w:tc>
          <w:tcPr>
            <w:tcW w:type="dxa" w:w="28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未开始</w:t>
            </w:r>
          </w:p>
        </w:tc>
      </w:tr>
    </w:tbl>
    <w:p/>
    <w:p>
      <w:pPr>
        <w:pStyle w:val="Heading3"/>
      </w:pPr>
      <w:r>
        <w:rPr>
          <w:rFonts w:ascii="Arial" w:hAnsi="Arial" w:eastAsia="Microsoft YaHei"/>
          <w:sz w:val="24"/>
        </w:rPr>
        <w:t>P5 底部空间查询与结果分析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6"/>
              </w:rPr>
              <w:t>任务</w:t>
            </w:r>
          </w:p>
        </w:tc>
        <w:tc>
          <w:tcPr>
            <w:tcW w:type="dxa" w:w="282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6"/>
              </w:rPr>
              <w:t>内容</w:t>
            </w:r>
          </w:p>
        </w:tc>
        <w:tc>
          <w:tcPr>
            <w:tcW w:type="dxa" w:w="282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6"/>
              </w:rPr>
              <w:t>API 影响</w:t>
            </w:r>
          </w:p>
        </w:tc>
        <w:tc>
          <w:tcPr>
            <w:tcW w:type="dxa" w:w="282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6"/>
              </w:rPr>
              <w:t>验收标准</w:t>
            </w:r>
          </w:p>
        </w:tc>
        <w:tc>
          <w:tcPr>
            <w:tcW w:type="dxa" w:w="282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6"/>
              </w:rPr>
              <w:t>状态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P5-01</w:t>
            </w:r>
          </w:p>
        </w:tc>
        <w:tc>
          <w:tcPr>
            <w:tcW w:type="dxa" w:w="28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底部栏扩展为 `空间查询 / 结果 / 时间 / 图例` Tabs</w:t>
            </w:r>
          </w:p>
        </w:tc>
        <w:tc>
          <w:tcPr>
            <w:tcW w:type="dxa" w:w="28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API-08 可选</w:t>
            </w:r>
          </w:p>
        </w:tc>
        <w:tc>
          <w:tcPr>
            <w:tcW w:type="dxa" w:w="28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面板内容稳定，不遮挡地图主视觉</w:t>
            </w:r>
          </w:p>
        </w:tc>
        <w:tc>
          <w:tcPr>
            <w:tcW w:type="dxa" w:w="28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未开始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P5-02</w:t>
            </w:r>
          </w:p>
        </w:tc>
        <w:tc>
          <w:tcPr>
            <w:tcW w:type="dxa" w:w="28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空间查询：绘制、清除、导入/导出 GeoJSON、范围指标</w:t>
            </w:r>
          </w:p>
        </w:tc>
        <w:tc>
          <w:tcPr>
            <w:tcW w:type="dxa" w:w="28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无</w:t>
            </w:r>
          </w:p>
        </w:tc>
        <w:tc>
          <w:tcPr>
            <w:tcW w:type="dxa" w:w="28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绘制结果可用于查询和导出裁切</w:t>
            </w:r>
          </w:p>
        </w:tc>
        <w:tc>
          <w:tcPr>
            <w:tcW w:type="dxa" w:w="28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未开始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P5-03</w:t>
            </w:r>
          </w:p>
        </w:tc>
        <w:tc>
          <w:tcPr>
            <w:tcW w:type="dxa" w:w="28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结果：表格、统计、地图高亮、导出</w:t>
            </w:r>
          </w:p>
        </w:tc>
        <w:tc>
          <w:tcPr>
            <w:tcW w:type="dxa" w:w="28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复用查询和导出接口</w:t>
            </w:r>
          </w:p>
        </w:tc>
        <w:tc>
          <w:tcPr>
            <w:tcW w:type="dxa" w:w="28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查询结果和地图要素双向联动</w:t>
            </w:r>
          </w:p>
        </w:tc>
        <w:tc>
          <w:tcPr>
            <w:tcW w:type="dxa" w:w="28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未开始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P5-04</w:t>
            </w:r>
          </w:p>
        </w:tc>
        <w:tc>
          <w:tcPr>
            <w:tcW w:type="dxa" w:w="28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时间：年份/批次切换和事件带</w:t>
            </w:r>
          </w:p>
        </w:tc>
        <w:tc>
          <w:tcPr>
            <w:tcW w:type="dxa" w:w="28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API-08 可选</w:t>
            </w:r>
          </w:p>
        </w:tc>
        <w:tc>
          <w:tcPr>
            <w:tcW w:type="dxa" w:w="28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第一阶段可按资源日期轻量展示</w:t>
            </w:r>
          </w:p>
        </w:tc>
        <w:tc>
          <w:tcPr>
            <w:tcW w:type="dxa" w:w="28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未开始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P5-05</w:t>
            </w:r>
          </w:p>
        </w:tc>
        <w:tc>
          <w:tcPr>
            <w:tcW w:type="dxa" w:w="28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图例：当前可见图层图例与栅格色带</w:t>
            </w:r>
          </w:p>
        </w:tc>
        <w:tc>
          <w:tcPr>
            <w:tcW w:type="dxa" w:w="28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无</w:t>
            </w:r>
          </w:p>
        </w:tc>
        <w:tc>
          <w:tcPr>
            <w:tcW w:type="dxa" w:w="28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矢量和栅格图例统一可读</w:t>
            </w:r>
          </w:p>
        </w:tc>
        <w:tc>
          <w:tcPr>
            <w:tcW w:type="dxa" w:w="28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未开始</w:t>
            </w:r>
          </w:p>
        </w:tc>
      </w:tr>
    </w:tbl>
    <w:p/>
    <w:p>
      <w:pPr>
        <w:pStyle w:val="Heading3"/>
      </w:pPr>
      <w:r>
        <w:rPr>
          <w:rFonts w:ascii="Arial" w:hAnsi="Arial" w:eastAsia="Microsoft YaHei"/>
          <w:sz w:val="24"/>
        </w:rPr>
        <w:t>P6 右侧态势洞察与要素详情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6"/>
              </w:rPr>
              <w:t>任务</w:t>
            </w:r>
          </w:p>
        </w:tc>
        <w:tc>
          <w:tcPr>
            <w:tcW w:type="dxa" w:w="282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6"/>
              </w:rPr>
              <w:t>内容</w:t>
            </w:r>
          </w:p>
        </w:tc>
        <w:tc>
          <w:tcPr>
            <w:tcW w:type="dxa" w:w="282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6"/>
              </w:rPr>
              <w:t>API 影响</w:t>
            </w:r>
          </w:p>
        </w:tc>
        <w:tc>
          <w:tcPr>
            <w:tcW w:type="dxa" w:w="282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6"/>
              </w:rPr>
              <w:t>验收标准</w:t>
            </w:r>
          </w:p>
        </w:tc>
        <w:tc>
          <w:tcPr>
            <w:tcW w:type="dxa" w:w="282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6"/>
              </w:rPr>
              <w:t>状态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P6-01</w:t>
            </w:r>
          </w:p>
        </w:tc>
        <w:tc>
          <w:tcPr>
            <w:tcW w:type="dxa" w:w="28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右侧上栏：当前视角二维缩略与范围信息</w:t>
            </w:r>
          </w:p>
        </w:tc>
        <w:tc>
          <w:tcPr>
            <w:tcW w:type="dxa" w:w="28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API 可选</w:t>
            </w:r>
          </w:p>
        </w:tc>
        <w:tc>
          <w:tcPr>
            <w:tcW w:type="dxa" w:w="28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展示中心点、范围、缩放层级或空态</w:t>
            </w:r>
          </w:p>
        </w:tc>
        <w:tc>
          <w:tcPr>
            <w:tcW w:type="dxa" w:w="28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未开始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P6-02</w:t>
            </w:r>
          </w:p>
        </w:tc>
        <w:tc>
          <w:tcPr>
            <w:tcW w:type="dxa" w:w="28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概览 Tab：生态指标、趋势、风险和站点状态</w:t>
            </w:r>
          </w:p>
        </w:tc>
        <w:tc>
          <w:tcPr>
            <w:tcW w:type="dxa" w:w="28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API-01、API-07</w:t>
            </w:r>
          </w:p>
        </w:tc>
        <w:tc>
          <w:tcPr>
            <w:tcW w:type="dxa" w:w="28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无真实数据时清晰说明待接入</w:t>
            </w:r>
          </w:p>
        </w:tc>
        <w:tc>
          <w:tcPr>
            <w:tcW w:type="dxa" w:w="28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未开始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P6-03</w:t>
            </w:r>
          </w:p>
        </w:tc>
        <w:tc>
          <w:tcPr>
            <w:tcW w:type="dxa" w:w="28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要素 Tab：地图点击要素后的属性、趋势、关联资源</w:t>
            </w:r>
          </w:p>
        </w:tc>
        <w:tc>
          <w:tcPr>
            <w:tcW w:type="dxa" w:w="28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复用已加载要素</w:t>
            </w:r>
          </w:p>
        </w:tc>
        <w:tc>
          <w:tcPr>
            <w:tcW w:type="dxa" w:w="28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点击地图、表格行和图层节点能联动</w:t>
            </w:r>
          </w:p>
        </w:tc>
        <w:tc>
          <w:tcPr>
            <w:tcW w:type="dxa" w:w="28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未开始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P6-04</w:t>
            </w:r>
          </w:p>
        </w:tc>
        <w:tc>
          <w:tcPr>
            <w:tcW w:type="dxa" w:w="28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监测 Tab：监测站、任务队列、异常指标</w:t>
            </w:r>
          </w:p>
        </w:tc>
        <w:tc>
          <w:tcPr>
            <w:tcW w:type="dxa" w:w="28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API-07</w:t>
            </w:r>
          </w:p>
        </w:tc>
        <w:tc>
          <w:tcPr>
            <w:tcW w:type="dxa" w:w="28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第一阶段可做权限友好的空状态</w:t>
            </w:r>
          </w:p>
        </w:tc>
        <w:tc>
          <w:tcPr>
            <w:tcW w:type="dxa" w:w="28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未开始</w:t>
            </w:r>
          </w:p>
        </w:tc>
      </w:tr>
    </w:tbl>
    <w:p/>
    <w:p>
      <w:pPr>
        <w:pStyle w:val="Heading3"/>
      </w:pPr>
      <w:r>
        <w:rPr>
          <w:rFonts w:ascii="Arial" w:hAnsi="Arial" w:eastAsia="Microsoft YaHei"/>
          <w:sz w:val="24"/>
        </w:rPr>
        <w:t>P7 非地理可视化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6"/>
              </w:rPr>
              <w:t>任务</w:t>
            </w:r>
          </w:p>
        </w:tc>
        <w:tc>
          <w:tcPr>
            <w:tcW w:type="dxa" w:w="282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6"/>
              </w:rPr>
              <w:t>内容</w:t>
            </w:r>
          </w:p>
        </w:tc>
        <w:tc>
          <w:tcPr>
            <w:tcW w:type="dxa" w:w="282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6"/>
              </w:rPr>
              <w:t>API 影响</w:t>
            </w:r>
          </w:p>
        </w:tc>
        <w:tc>
          <w:tcPr>
            <w:tcW w:type="dxa" w:w="282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6"/>
              </w:rPr>
              <w:t>验收标准</w:t>
            </w:r>
          </w:p>
        </w:tc>
        <w:tc>
          <w:tcPr>
            <w:tcW w:type="dxa" w:w="282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6"/>
              </w:rPr>
              <w:t>状态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P7-01</w:t>
            </w:r>
          </w:p>
        </w:tc>
        <w:tc>
          <w:tcPr>
            <w:tcW w:type="dxa" w:w="28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非地理页布局：左数据集、中图表、右配置、底部数据表</w:t>
            </w:r>
          </w:p>
        </w:tc>
        <w:tc>
          <w:tcPr>
            <w:tcW w:type="dxa" w:w="28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API-04</w:t>
            </w:r>
          </w:p>
        </w:tc>
        <w:tc>
          <w:tcPr>
            <w:tcW w:type="dxa" w:w="28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页面从空承载页变为可操作工作台</w:t>
            </w:r>
          </w:p>
        </w:tc>
        <w:tc>
          <w:tcPr>
            <w:tcW w:type="dxa" w:w="28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未开始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P7-02</w:t>
            </w:r>
          </w:p>
        </w:tc>
        <w:tc>
          <w:tcPr>
            <w:tcW w:type="dxa" w:w="28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数据总览：类型、来源、年份、质量状态</w:t>
            </w:r>
          </w:p>
        </w:tc>
        <w:tc>
          <w:tcPr>
            <w:tcW w:type="dxa" w:w="28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复用资源接口或 API-04</w:t>
            </w:r>
          </w:p>
        </w:tc>
        <w:tc>
          <w:tcPr>
            <w:tcW w:type="dxa" w:w="28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无高级接口时仍能展示资源总览</w:t>
            </w:r>
          </w:p>
        </w:tc>
        <w:tc>
          <w:tcPr>
            <w:tcW w:type="dxa" w:w="28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未开始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P7-03</w:t>
            </w:r>
          </w:p>
        </w:tc>
        <w:tc>
          <w:tcPr>
            <w:tcW w:type="dxa" w:w="28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表格、基因、成果、图片四类工作区</w:t>
            </w:r>
          </w:p>
        </w:tc>
        <w:tc>
          <w:tcPr>
            <w:tcW w:type="dxa" w:w="28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API-04</w:t>
            </w:r>
          </w:p>
        </w:tc>
        <w:tc>
          <w:tcPr>
            <w:tcW w:type="dxa" w:w="28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高级分析功能按接口成熟度分阶段接入</w:t>
            </w:r>
          </w:p>
        </w:tc>
        <w:tc>
          <w:tcPr>
            <w:tcW w:type="dxa" w:w="28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未开始</w:t>
            </w:r>
          </w:p>
        </w:tc>
      </w:tr>
    </w:tbl>
    <w:p/>
    <w:p>
      <w:pPr>
        <w:pStyle w:val="Heading3"/>
      </w:pPr>
      <w:r>
        <w:rPr>
          <w:rFonts w:ascii="Arial" w:hAnsi="Arial" w:eastAsia="Microsoft YaHei"/>
          <w:sz w:val="24"/>
        </w:rPr>
        <w:t>P8 成果目录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6"/>
              </w:rPr>
              <w:t>任务</w:t>
            </w:r>
          </w:p>
        </w:tc>
        <w:tc>
          <w:tcPr>
            <w:tcW w:type="dxa" w:w="282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6"/>
              </w:rPr>
              <w:t>内容</w:t>
            </w:r>
          </w:p>
        </w:tc>
        <w:tc>
          <w:tcPr>
            <w:tcW w:type="dxa" w:w="282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6"/>
              </w:rPr>
              <w:t>API 影响</w:t>
            </w:r>
          </w:p>
        </w:tc>
        <w:tc>
          <w:tcPr>
            <w:tcW w:type="dxa" w:w="282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6"/>
              </w:rPr>
              <w:t>验收标准</w:t>
            </w:r>
          </w:p>
        </w:tc>
        <w:tc>
          <w:tcPr>
            <w:tcW w:type="dxa" w:w="282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6"/>
              </w:rPr>
              <w:t>状态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P8-01</w:t>
            </w:r>
          </w:p>
        </w:tc>
        <w:tc>
          <w:tcPr>
            <w:tcW w:type="dxa" w:w="28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新增成果目录页面和顶部导航入口</w:t>
            </w:r>
          </w:p>
        </w:tc>
        <w:tc>
          <w:tcPr>
            <w:tcW w:type="dxa" w:w="28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复用成果列表接口</w:t>
            </w:r>
          </w:p>
        </w:tc>
        <w:tc>
          <w:tcPr>
            <w:tcW w:type="dxa" w:w="28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能浏览成果列表并返回地图</w:t>
            </w:r>
          </w:p>
        </w:tc>
        <w:tc>
          <w:tcPr>
            <w:tcW w:type="dxa" w:w="28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未开始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P8-02</w:t>
            </w:r>
          </w:p>
        </w:tc>
        <w:tc>
          <w:tcPr>
            <w:tcW w:type="dxa" w:w="28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成果筛选、搜索、列表/卡片视图</w:t>
            </w:r>
          </w:p>
        </w:tc>
        <w:tc>
          <w:tcPr>
            <w:tcW w:type="dxa" w:w="28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复用 `/api/achievements/`、`/api/search/`</w:t>
            </w:r>
          </w:p>
        </w:tc>
        <w:tc>
          <w:tcPr>
            <w:tcW w:type="dxa" w:w="28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成果和数据资源搜索结果分组清晰</w:t>
            </w:r>
          </w:p>
        </w:tc>
        <w:tc>
          <w:tcPr>
            <w:tcW w:type="dxa" w:w="28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未开始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P8-03</w:t>
            </w:r>
          </w:p>
        </w:tc>
        <w:tc>
          <w:tcPr>
            <w:tcW w:type="dxa" w:w="28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成果详情、附件预览、关联图层</w:t>
            </w:r>
          </w:p>
        </w:tc>
        <w:tc>
          <w:tcPr>
            <w:tcW w:type="dxa" w:w="28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API-05 可选</w:t>
            </w:r>
          </w:p>
        </w:tc>
        <w:tc>
          <w:tcPr>
            <w:tcW w:type="dxa" w:w="28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若后端无详情接口，先做列表级详情抽屉</w:t>
            </w:r>
          </w:p>
        </w:tc>
        <w:tc>
          <w:tcPr>
            <w:tcW w:type="dxa" w:w="28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未开始</w:t>
            </w:r>
          </w:p>
        </w:tc>
      </w:tr>
    </w:tbl>
    <w:p/>
    <w:p>
      <w:pPr>
        <w:pStyle w:val="Heading3"/>
      </w:pPr>
      <w:r>
        <w:rPr>
          <w:rFonts w:ascii="Arial" w:hAnsi="Arial" w:eastAsia="Microsoft YaHei"/>
          <w:sz w:val="24"/>
        </w:rPr>
        <w:t>P9 管理后台视觉增强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6"/>
              </w:rPr>
              <w:t>任务</w:t>
            </w:r>
          </w:p>
        </w:tc>
        <w:tc>
          <w:tcPr>
            <w:tcW w:type="dxa" w:w="282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6"/>
              </w:rPr>
              <w:t>内容</w:t>
            </w:r>
          </w:p>
        </w:tc>
        <w:tc>
          <w:tcPr>
            <w:tcW w:type="dxa" w:w="282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6"/>
              </w:rPr>
              <w:t>API 影响</w:t>
            </w:r>
          </w:p>
        </w:tc>
        <w:tc>
          <w:tcPr>
            <w:tcW w:type="dxa" w:w="282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6"/>
              </w:rPr>
              <w:t>验收标准</w:t>
            </w:r>
          </w:p>
        </w:tc>
        <w:tc>
          <w:tcPr>
            <w:tcW w:type="dxa" w:w="282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6"/>
              </w:rPr>
              <w:t>状态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P9-01</w:t>
            </w:r>
          </w:p>
        </w:tc>
        <w:tc>
          <w:tcPr>
            <w:tcW w:type="dxa" w:w="28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Dashboard 增强 KPI、趋势、服务器仪表和操作时间线</w:t>
            </w:r>
          </w:p>
        </w:tc>
        <w:tc>
          <w:tcPr>
            <w:tcW w:type="dxa" w:w="28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复用后台 Dashboard 接口</w:t>
            </w:r>
          </w:p>
        </w:tc>
        <w:tc>
          <w:tcPr>
            <w:tcW w:type="dxa" w:w="28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未授权卡片不展示</w:t>
            </w:r>
          </w:p>
        </w:tc>
        <w:tc>
          <w:tcPr>
            <w:tcW w:type="dxa" w:w="28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未开始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P9-02</w:t>
            </w:r>
          </w:p>
        </w:tc>
        <w:tc>
          <w:tcPr>
            <w:tcW w:type="dxa" w:w="28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用户设置增强权限可视化、安全状态</w:t>
            </w:r>
          </w:p>
        </w:tc>
        <w:tc>
          <w:tcPr>
            <w:tcW w:type="dxa" w:w="28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复用 profile 接口</w:t>
            </w:r>
          </w:p>
        </w:tc>
        <w:tc>
          <w:tcPr>
            <w:tcW w:type="dxa" w:w="28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个人信息和密码流程不回退</w:t>
            </w:r>
          </w:p>
        </w:tc>
        <w:tc>
          <w:tcPr>
            <w:tcW w:type="dxa" w:w="28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未开始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P9-03</w:t>
            </w:r>
          </w:p>
        </w:tc>
        <w:tc>
          <w:tcPr>
            <w:tcW w:type="dxa" w:w="28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操作日志增强趋势、模块占比、异常摘要</w:t>
            </w:r>
          </w:p>
        </w:tc>
        <w:tc>
          <w:tcPr>
            <w:tcW w:type="dxa" w:w="28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可能需要前端聚合</w:t>
            </w:r>
          </w:p>
        </w:tc>
        <w:tc>
          <w:tcPr>
            <w:tcW w:type="dxa" w:w="28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表格筛选和分页仍是主体</w:t>
            </w:r>
          </w:p>
        </w:tc>
        <w:tc>
          <w:tcPr>
            <w:tcW w:type="dxa" w:w="28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未开始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P9-04</w:t>
            </w:r>
          </w:p>
        </w:tc>
        <w:tc>
          <w:tcPr>
            <w:tcW w:type="dxa" w:w="28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系统设置增强配置健康与路径状态</w:t>
            </w:r>
          </w:p>
        </w:tc>
        <w:tc>
          <w:tcPr>
            <w:tcW w:type="dxa" w:w="28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可能需要 API 扩展</w:t>
            </w:r>
          </w:p>
        </w:tc>
        <w:tc>
          <w:tcPr>
            <w:tcW w:type="dxa" w:w="28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第一阶段不展示后端未提供的敏感路径细节</w:t>
            </w:r>
          </w:p>
        </w:tc>
        <w:tc>
          <w:tcPr>
            <w:tcW w:type="dxa" w:w="28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未开始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P9-05</w:t>
            </w:r>
          </w:p>
        </w:tc>
        <w:tc>
          <w:tcPr>
            <w:tcW w:type="dxa" w:w="28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存量数据管理增强统计卡和右侧抽屉</w:t>
            </w:r>
          </w:p>
        </w:tc>
        <w:tc>
          <w:tcPr>
            <w:tcW w:type="dxa" w:w="28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复用存量数据接口</w:t>
            </w:r>
          </w:p>
        </w:tc>
        <w:tc>
          <w:tcPr>
            <w:tcW w:type="dxa" w:w="28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启停、权限、默认可视化流程可用</w:t>
            </w:r>
          </w:p>
        </w:tc>
        <w:tc>
          <w:tcPr>
            <w:tcW w:type="dxa" w:w="28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未开始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P9-06</w:t>
            </w:r>
          </w:p>
        </w:tc>
        <w:tc>
          <w:tcPr>
            <w:tcW w:type="dxa" w:w="28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数据导入增强步骤、校验图表、错误排行</w:t>
            </w:r>
          </w:p>
        </w:tc>
        <w:tc>
          <w:tcPr>
            <w:tcW w:type="dxa" w:w="28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复用导入接口</w:t>
            </w:r>
          </w:p>
        </w:tc>
        <w:tc>
          <w:tcPr>
            <w:tcW w:type="dxa" w:w="28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错误信息能帮助用户修正数据</w:t>
            </w:r>
          </w:p>
        </w:tc>
        <w:tc>
          <w:tcPr>
            <w:tcW w:type="dxa" w:w="28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未开始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P9-07</w:t>
            </w:r>
          </w:p>
        </w:tc>
        <w:tc>
          <w:tcPr>
            <w:tcW w:type="dxa" w:w="28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用户管理和用户组权限增强矩阵与风险提示</w:t>
            </w:r>
          </w:p>
        </w:tc>
        <w:tc>
          <w:tcPr>
            <w:tcW w:type="dxa" w:w="28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复用用户/用户组接口</w:t>
            </w:r>
          </w:p>
        </w:tc>
        <w:tc>
          <w:tcPr>
            <w:tcW w:type="dxa" w:w="28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保护组和权限限制提示清晰</w:t>
            </w:r>
          </w:p>
        </w:tc>
        <w:tc>
          <w:tcPr>
            <w:tcW w:type="dxa" w:w="28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未开始</w:t>
            </w:r>
          </w:p>
        </w:tc>
      </w:tr>
    </w:tbl>
    <w:p/>
    <w:p>
      <w:pPr>
        <w:pStyle w:val="Heading3"/>
      </w:pPr>
      <w:r>
        <w:rPr>
          <w:rFonts w:ascii="Arial" w:hAnsi="Arial" w:eastAsia="Microsoft YaHei"/>
          <w:sz w:val="24"/>
        </w:rPr>
        <w:t>P10 质量、性能与文档收尾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6"/>
              </w:rPr>
              <w:t>任务</w:t>
            </w:r>
          </w:p>
        </w:tc>
        <w:tc>
          <w:tcPr>
            <w:tcW w:type="dxa" w:w="282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6"/>
              </w:rPr>
              <w:t>内容</w:t>
            </w:r>
          </w:p>
        </w:tc>
        <w:tc>
          <w:tcPr>
            <w:tcW w:type="dxa" w:w="282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6"/>
              </w:rPr>
              <w:t>API 影响</w:t>
            </w:r>
          </w:p>
        </w:tc>
        <w:tc>
          <w:tcPr>
            <w:tcW w:type="dxa" w:w="282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6"/>
              </w:rPr>
              <w:t>验收标准</w:t>
            </w:r>
          </w:p>
        </w:tc>
        <w:tc>
          <w:tcPr>
            <w:tcW w:type="dxa" w:w="282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6"/>
              </w:rPr>
              <w:t>状态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P10-01</w:t>
            </w:r>
          </w:p>
        </w:tc>
        <w:tc>
          <w:tcPr>
            <w:tcW w:type="dxa" w:w="28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前端单元测试和关键路由 E2E 更新</w:t>
            </w:r>
          </w:p>
        </w:tc>
        <w:tc>
          <w:tcPr>
            <w:tcW w:type="dxa" w:w="28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无</w:t>
            </w:r>
          </w:p>
        </w:tc>
        <w:tc>
          <w:tcPr>
            <w:tcW w:type="dxa" w:w="28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登录、权限、导航、主流程覆盖</w:t>
            </w:r>
          </w:p>
        </w:tc>
        <w:tc>
          <w:tcPr>
            <w:tcW w:type="dxa" w:w="28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未开始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P10-02</w:t>
            </w:r>
          </w:p>
        </w:tc>
        <w:tc>
          <w:tcPr>
            <w:tcW w:type="dxa" w:w="28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真实浏览器视觉检查</w:t>
            </w:r>
          </w:p>
        </w:tc>
        <w:tc>
          <w:tcPr>
            <w:tcW w:type="dxa" w:w="28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无</w:t>
            </w:r>
          </w:p>
        </w:tc>
        <w:tc>
          <w:tcPr>
            <w:tcW w:type="dxa" w:w="28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桌面和常见宽度无重叠、无溢出</w:t>
            </w:r>
          </w:p>
        </w:tc>
        <w:tc>
          <w:tcPr>
            <w:tcW w:type="dxa" w:w="28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未开始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P10-03</w:t>
            </w:r>
          </w:p>
        </w:tc>
        <w:tc>
          <w:tcPr>
            <w:tcW w:type="dxa" w:w="28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OpenAPI 变更最终核对</w:t>
            </w:r>
          </w:p>
        </w:tc>
        <w:tc>
          <w:tcPr>
            <w:tcW w:type="dxa" w:w="28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视前序任务而定</w:t>
            </w:r>
          </w:p>
        </w:tc>
        <w:tc>
          <w:tcPr>
            <w:tcW w:type="dxa" w:w="28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`openapi.yaml`、`developer-guide.md`、生成类型同步</w:t>
            </w:r>
          </w:p>
        </w:tc>
        <w:tc>
          <w:tcPr>
            <w:tcW w:type="dxa" w:w="28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未开始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P10-04</w:t>
            </w:r>
          </w:p>
        </w:tc>
        <w:tc>
          <w:tcPr>
            <w:tcW w:type="dxa" w:w="28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更新开发文档和测试说明</w:t>
            </w:r>
          </w:p>
        </w:tc>
        <w:tc>
          <w:tcPr>
            <w:tcW w:type="dxa" w:w="28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无</w:t>
            </w:r>
          </w:p>
        </w:tc>
        <w:tc>
          <w:tcPr>
            <w:tcW w:type="dxa" w:w="28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前端开发者能按文档接手维护</w:t>
            </w:r>
          </w:p>
        </w:tc>
        <w:tc>
          <w:tcPr>
            <w:tcW w:type="dxa" w:w="28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未开始</w:t>
            </w:r>
          </w:p>
        </w:tc>
      </w:tr>
    </w:tbl>
    <w:p/>
    <w:p>
      <w:pPr>
        <w:pStyle w:val="Heading2"/>
      </w:pPr>
      <w:r>
        <w:rPr>
          <w:rFonts w:ascii="Arial" w:hAnsi="Arial" w:eastAsia="Microsoft YaHei"/>
          <w:sz w:val="28"/>
        </w:rPr>
        <w:t>10. 验收检查清单</w:t>
      </w:r>
    </w:p>
    <w:p>
      <w:pPr>
        <w:spacing w:after="120"/>
      </w:pPr>
      <w:r>
        <w:rPr>
          <w:rFonts w:ascii="Arial" w:hAnsi="Arial" w:eastAsia="Microsoft YaHei"/>
          <w:sz w:val="21"/>
        </w:rPr>
        <w:t>每个界面完成时至少检查：</w:t>
      </w:r>
    </w:p>
    <w:p>
      <w:pPr>
        <w:pStyle w:val="ListNumber"/>
      </w:pPr>
      <w:r>
        <w:rPr>
          <w:rFonts w:ascii="Arial" w:hAnsi="Arial" w:eastAsia="Microsoft YaHei"/>
          <w:sz w:val="20"/>
        </w:rPr>
        <w:t>页面是否符合中文界面要求。</w:t>
      </w:r>
    </w:p>
    <w:p>
      <w:pPr>
        <w:pStyle w:val="ListNumber"/>
      </w:pPr>
      <w:r>
        <w:rPr>
          <w:rFonts w:ascii="Arial" w:hAnsi="Arial" w:eastAsia="Microsoft YaHei"/>
          <w:sz w:val="20"/>
        </w:rPr>
        <w:t>是否没有修改后端代码。</w:t>
      </w:r>
    </w:p>
    <w:p>
      <w:pPr>
        <w:pStyle w:val="ListNumber"/>
      </w:pPr>
      <w:r>
        <w:rPr>
          <w:rFonts w:ascii="Arial" w:hAnsi="Arial" w:eastAsia="Microsoft YaHei"/>
          <w:sz w:val="20"/>
        </w:rPr>
        <w:t>是否遵循当前权限门禁，未授权入口不展示或不可访问。</w:t>
      </w:r>
    </w:p>
    <w:p>
      <w:pPr>
        <w:pStyle w:val="ListNumber"/>
      </w:pPr>
      <w:r>
        <w:rPr>
          <w:rFonts w:ascii="Arial" w:hAnsi="Arial" w:eastAsia="Microsoft YaHei"/>
          <w:sz w:val="20"/>
        </w:rPr>
        <w:t>是否使用 Ant Design 组件承载表单、表格、抽屉、弹窗、Tabs、筛选和反馈。</w:t>
      </w:r>
    </w:p>
    <w:p>
      <w:pPr>
        <w:pStyle w:val="ListNumber"/>
      </w:pPr>
      <w:r>
        <w:rPr>
          <w:rFonts w:ascii="Arial" w:hAnsi="Arial" w:eastAsia="Microsoft YaHei"/>
          <w:sz w:val="20"/>
        </w:rPr>
        <w:t>是否没有把栅格符号化、分类、重采样或 PNG 生成搬到前端。</w:t>
      </w:r>
    </w:p>
    <w:p>
      <w:pPr>
        <w:pStyle w:val="ListNumber"/>
      </w:pPr>
      <w:r>
        <w:rPr>
          <w:rFonts w:ascii="Arial" w:hAnsi="Arial" w:eastAsia="Microsoft YaHei"/>
          <w:sz w:val="20"/>
        </w:rPr>
        <w:t xml:space="preserve">是否没有手写重复后端 DTO，API 类型来自 </w:t>
      </w:r>
      <w:r>
        <w:rPr>
          <w:rFonts w:ascii="Consolas" w:hAnsi="Consolas" w:eastAsia="Consolas"/>
          <w:sz w:val="20"/>
        </w:rPr>
        <w:t>frontend/src/api/schema.d.ts</w:t>
      </w:r>
      <w:r>
        <w:rPr>
          <w:rFonts w:ascii="Arial" w:hAnsi="Arial" w:eastAsia="Microsoft YaHei"/>
          <w:sz w:val="20"/>
        </w:rPr>
        <w:t>。</w:t>
      </w:r>
    </w:p>
    <w:p>
      <w:pPr>
        <w:pStyle w:val="ListNumber"/>
      </w:pPr>
      <w:r>
        <w:rPr>
          <w:rFonts w:ascii="Arial" w:hAnsi="Arial" w:eastAsia="Microsoft YaHei"/>
          <w:sz w:val="20"/>
        </w:rPr>
        <w:t xml:space="preserve">如果涉及 API 变更，是否同步更新 </w:t>
      </w:r>
      <w:r>
        <w:rPr>
          <w:rFonts w:ascii="Consolas" w:hAnsi="Consolas" w:eastAsia="Consolas"/>
          <w:sz w:val="20"/>
        </w:rPr>
        <w:t>docs/openapi.yaml</w:t>
      </w:r>
      <w:r>
        <w:rPr>
          <w:rFonts w:ascii="Arial" w:hAnsi="Arial" w:eastAsia="Microsoft YaHei"/>
          <w:sz w:val="20"/>
        </w:rPr>
        <w:t>、</w:t>
      </w:r>
      <w:r>
        <w:rPr>
          <w:rFonts w:ascii="Consolas" w:hAnsi="Consolas" w:eastAsia="Consolas"/>
          <w:sz w:val="20"/>
        </w:rPr>
        <w:t>docs/developer-guide.md</w:t>
      </w:r>
      <w:r>
        <w:rPr>
          <w:rFonts w:ascii="Arial" w:hAnsi="Arial" w:eastAsia="Microsoft YaHei"/>
          <w:sz w:val="20"/>
        </w:rPr>
        <w:t xml:space="preserve"> 和生成类型。</w:t>
      </w:r>
    </w:p>
    <w:p>
      <w:pPr>
        <w:pStyle w:val="ListNumber"/>
      </w:pPr>
      <w:r>
        <w:rPr>
          <w:rFonts w:ascii="Arial" w:hAnsi="Arial" w:eastAsia="Microsoft YaHei"/>
          <w:sz w:val="20"/>
        </w:rPr>
        <w:t>主界面文字、按钮、面板是否在常见桌面和小屏宽度下不重叠、不溢出。</w:t>
      </w:r>
    </w:p>
    <w:p>
      <w:pPr>
        <w:pStyle w:val="ListNumber"/>
      </w:pPr>
      <w:r>
        <w:rPr>
          <w:rFonts w:ascii="Arial" w:hAnsi="Arial" w:eastAsia="Microsoft YaHei"/>
          <w:sz w:val="20"/>
        </w:rPr>
        <w:t>地图交互、图层显隐、查询和导出是否有明确加载、失败、空状态反馈。</w:t>
      </w:r>
    </w:p>
    <w:p>
      <w:pPr>
        <w:pStyle w:val="ListNumber"/>
      </w:pPr>
      <w:r>
        <w:rPr>
          <w:rFonts w:ascii="Arial" w:hAnsi="Arial" w:eastAsia="Microsoft YaHei"/>
          <w:sz w:val="20"/>
        </w:rPr>
        <w:t>重要操作是否保留后端权限校验和审计日志预期。</w:t>
      </w:r>
    </w:p>
    <w:p>
      <w:pPr>
        <w:pStyle w:val="Heading2"/>
      </w:pPr>
      <w:r>
        <w:rPr>
          <w:rFonts w:ascii="Arial" w:hAnsi="Arial" w:eastAsia="Microsoft YaHei"/>
          <w:sz w:val="28"/>
        </w:rPr>
        <w:t>11. 下一步建议</w:t>
      </w:r>
    </w:p>
    <w:p>
      <w:pPr>
        <w:spacing w:after="120"/>
      </w:pPr>
      <w:r>
        <w:rPr>
          <w:rFonts w:ascii="Arial" w:hAnsi="Arial" w:eastAsia="Microsoft YaHei"/>
          <w:sz w:val="21"/>
        </w:rPr>
        <w:t>建议后续正式开发按以下顺序切入：</w:t>
      </w:r>
    </w:p>
    <w:p>
      <w:pPr>
        <w:pStyle w:val="ListNumber"/>
      </w:pPr>
      <w:r>
        <w:rPr>
          <w:rFonts w:ascii="Arial" w:hAnsi="Arial" w:eastAsia="Microsoft YaHei"/>
          <w:sz w:val="20"/>
        </w:rPr>
        <w:t>先完成 P1 全局框架和视觉 token，统一风格底座。</w:t>
      </w:r>
    </w:p>
    <w:p>
      <w:pPr>
        <w:pStyle w:val="ListNumber"/>
      </w:pPr>
      <w:r>
        <w:rPr>
          <w:rFonts w:ascii="Arial" w:hAnsi="Arial" w:eastAsia="Microsoft YaHei"/>
          <w:sz w:val="20"/>
        </w:rPr>
        <w:t xml:space="preserve">再做 P3 </w:t>
      </w:r>
      <w:r>
        <w:rPr>
          <w:rFonts w:ascii="Consolas" w:hAnsi="Consolas" w:eastAsia="Consolas"/>
          <w:sz w:val="20"/>
        </w:rPr>
        <w:t>/map</w:t>
      </w:r>
      <w:r>
        <w:rPr>
          <w:rFonts w:ascii="Arial" w:hAnsi="Arial" w:eastAsia="Microsoft YaHei"/>
          <w:sz w:val="20"/>
        </w:rPr>
        <w:t xml:space="preserve"> 主界面框架，因为这是平台最核心页面。</w:t>
      </w:r>
    </w:p>
    <w:p>
      <w:pPr>
        <w:pStyle w:val="ListNumber"/>
      </w:pPr>
      <w:r>
        <w:rPr>
          <w:rFonts w:ascii="Arial" w:hAnsi="Arial" w:eastAsia="Microsoft YaHei"/>
          <w:sz w:val="20"/>
        </w:rPr>
        <w:t>随后并行推进 P4 左侧栏、P5 底部栏、P6 右侧栏。</w:t>
      </w:r>
    </w:p>
    <w:p>
      <w:pPr>
        <w:pStyle w:val="ListNumber"/>
      </w:pPr>
      <w:r>
        <w:rPr>
          <w:rFonts w:ascii="Arial" w:hAnsi="Arial" w:eastAsia="Microsoft YaHei"/>
          <w:sz w:val="20"/>
        </w:rPr>
        <w:t>在主界面稳定后推进 P2 登录页、P8 成果目录、P7 非地理可视化。</w:t>
      </w:r>
    </w:p>
    <w:p>
      <w:pPr>
        <w:pStyle w:val="ListNumber"/>
      </w:pPr>
      <w:r>
        <w:rPr>
          <w:rFonts w:ascii="Arial" w:hAnsi="Arial" w:eastAsia="Microsoft YaHei"/>
          <w:sz w:val="20"/>
        </w:rPr>
        <w:t>最后对 P9 后台页面做 Ant Design Pro 风格增强。</w:t>
      </w:r>
    </w:p>
    <w:p>
      <w:pPr>
        <w:spacing w:after="120"/>
      </w:pPr>
      <w:r>
        <w:rPr>
          <w:rFonts w:ascii="Arial" w:hAnsi="Arial" w:eastAsia="Microsoft YaHei"/>
          <w:sz w:val="21"/>
        </w:rPr>
        <w:t>当前阶段不建议立即修改 OpenAPI。应先在前端用现有接口完成可落地的视觉和交互骨架，等真实指标、专题场景、非地理分析和监测数据需求明确后，再进入接口契约变更。</w:t>
      </w:r>
    </w:p>
    <w:p>
      <w:r>
        <w:br w:type="page"/>
      </w:r>
    </w:p>
    <w:p>
      <w:pPr>
        <w:pStyle w:val="Heading1"/>
      </w:pPr>
      <w:r>
        <w:rPr>
          <w:rFonts w:ascii="Arial" w:hAnsi="Arial" w:eastAsia="Microsoft YaHei"/>
          <w:sz w:val="32"/>
        </w:rPr>
        <w:t>????</w:t>
      </w:r>
    </w:p>
    <w:p>
      <w:r>
        <w:rPr>
          <w:rFonts w:ascii="Arial" w:hAnsi="Arial" w:eastAsia="Microsoft YaHei"/>
          <w:sz w:val="21"/>
        </w:rPr>
        <w:t>? Word ??? frontend-redesign-development-log.md ???????????D:\Code\GeoManager-main\docs\frontend-redesign-development-log.md</w:t>
      </w:r>
    </w:p>
    <w:sectPr w:rsidR="00FC693F" w:rsidRPr="0006063C" w:rsidSect="00034616">
      <w:pgSz w:w="15840" w:h="12240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