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DuocUC</w:t>
            </w:r>
            <w:r w:rsidDel="00000000" w:rsidR="00000000" w:rsidRPr="00000000">
              <w:rPr>
                <w:rtl w:val="0"/>
              </w:rPr>
            </w:r>
          </w:p>
        </w:tc>
      </w:tr>
      <w:tr>
        <w:trPr>
          <w:cantSplit w:val="0"/>
          <w:trHeight w:val="395.9765625" w:hRule="atLeast"/>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AlergicIA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Videollamada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Maximiliano Muñoz C.</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Javier Peralta C.</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Maximiliano Muñoz C.</w:t>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Javier Peralta C.</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Divisiones y gestiones de trabajo total de un activo, entregable o tarea. Nos permite mantener control en ese elemento específico y mayor entendimiento de los límites del mismo.</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Determinar horarios fijos de horas diarias, genera desgaste, poca productividad y errores generales evitables.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Horarios de trabajo flexibles por tiempo total de semana o sprint.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8">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9">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ivvahRV8zg4GgGs8vnJFblUg==">CgMxLjA4AHIhMW5KYkpPRGE0Z1VvbHYwZVNuUGpzdWROQlV1d3I3Ukp0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