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484E17"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484E17"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 xml:space="preserve">Lopuksi tutkimus sisältää yhteenvedon prosessista. </w:t>
      </w:r>
      <w:r>
        <w:t>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22F9DE1D" w14:textId="1B3C02F0" w:rsidR="008D581E"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81645446" w:history="1">
        <w:r w:rsidR="008D581E" w:rsidRPr="00993E92">
          <w:rPr>
            <w:rStyle w:val="Hyperlinkki"/>
            <w:b/>
            <w:bCs/>
            <w:noProof/>
            <w:lang w:val="en-US"/>
          </w:rPr>
          <w:t xml:space="preserve">Code </w:t>
        </w:r>
        <w:r w:rsidR="008D581E" w:rsidRPr="00993E92">
          <w:rPr>
            <w:rStyle w:val="Hyperlinkki"/>
            <w:b/>
            <w:bCs/>
            <w:noProof/>
            <w:lang w:val="en-GB"/>
          </w:rPr>
          <w:t>Snippet</w:t>
        </w:r>
        <w:r w:rsidR="008D581E" w:rsidRPr="00993E92">
          <w:rPr>
            <w:rStyle w:val="Hyperlinkki"/>
            <w:b/>
            <w:bCs/>
            <w:noProof/>
            <w:lang w:val="en-US"/>
          </w:rPr>
          <w:t xml:space="preserve"> 1</w:t>
        </w:r>
        <w:r w:rsidR="008D581E" w:rsidRPr="00993E92">
          <w:rPr>
            <w:rStyle w:val="Hyperlinkki"/>
            <w:noProof/>
            <w:lang w:val="en-US"/>
          </w:rPr>
          <w:t xml:space="preserve"> Simple test to verify sales basket total is added correctly</w:t>
        </w:r>
        <w:r w:rsidR="008D581E">
          <w:rPr>
            <w:noProof/>
            <w:webHidden/>
          </w:rPr>
          <w:tab/>
        </w:r>
        <w:r w:rsidR="008D581E">
          <w:rPr>
            <w:noProof/>
            <w:webHidden/>
          </w:rPr>
          <w:fldChar w:fldCharType="begin"/>
        </w:r>
        <w:r w:rsidR="008D581E">
          <w:rPr>
            <w:noProof/>
            <w:webHidden/>
          </w:rPr>
          <w:instrText xml:space="preserve"> PAGEREF _Toc181645446 \h </w:instrText>
        </w:r>
        <w:r w:rsidR="008D581E">
          <w:rPr>
            <w:noProof/>
            <w:webHidden/>
          </w:rPr>
        </w:r>
        <w:r w:rsidR="008D581E">
          <w:rPr>
            <w:noProof/>
            <w:webHidden/>
          </w:rPr>
          <w:fldChar w:fldCharType="separate"/>
        </w:r>
        <w:r w:rsidR="008D581E">
          <w:rPr>
            <w:noProof/>
            <w:webHidden/>
          </w:rPr>
          <w:t>20</w:t>
        </w:r>
        <w:r w:rsidR="008D581E">
          <w:rPr>
            <w:noProof/>
            <w:webHidden/>
          </w:rPr>
          <w:fldChar w:fldCharType="end"/>
        </w:r>
      </w:hyperlink>
    </w:p>
    <w:p w14:paraId="66CACF3B" w14:textId="3D9845B0"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7" w:history="1">
        <w:r w:rsidRPr="00993E92">
          <w:rPr>
            <w:rStyle w:val="Hyperlinkki"/>
            <w:b/>
            <w:bCs/>
            <w:noProof/>
            <w:lang w:val="en-GB"/>
          </w:rPr>
          <w:t>Code Snippet 2</w:t>
        </w:r>
        <w:r w:rsidRPr="00993E92">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_Toc181645447 \h </w:instrText>
        </w:r>
        <w:r>
          <w:rPr>
            <w:noProof/>
            <w:webHidden/>
          </w:rPr>
        </w:r>
        <w:r>
          <w:rPr>
            <w:noProof/>
            <w:webHidden/>
          </w:rPr>
          <w:fldChar w:fldCharType="separate"/>
        </w:r>
        <w:r>
          <w:rPr>
            <w:noProof/>
            <w:webHidden/>
          </w:rPr>
          <w:t>42</w:t>
        </w:r>
        <w:r>
          <w:rPr>
            <w:noProof/>
            <w:webHidden/>
          </w:rPr>
          <w:fldChar w:fldCharType="end"/>
        </w:r>
      </w:hyperlink>
    </w:p>
    <w:p w14:paraId="0D7CFC54" w14:textId="584663B4"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8" w:history="1">
        <w:r w:rsidRPr="00993E92">
          <w:rPr>
            <w:rStyle w:val="Hyperlinkki"/>
            <w:b/>
            <w:bCs/>
            <w:noProof/>
            <w:lang w:val="en-GB"/>
          </w:rPr>
          <w:t>Code Snippet 3</w:t>
        </w:r>
        <w:r w:rsidRPr="00993E92">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_Toc181645448 \h </w:instrText>
        </w:r>
        <w:r>
          <w:rPr>
            <w:noProof/>
            <w:webHidden/>
          </w:rPr>
        </w:r>
        <w:r>
          <w:rPr>
            <w:noProof/>
            <w:webHidden/>
          </w:rPr>
          <w:fldChar w:fldCharType="separate"/>
        </w:r>
        <w:r>
          <w:rPr>
            <w:noProof/>
            <w:webHidden/>
          </w:rPr>
          <w:t>43</w:t>
        </w:r>
        <w:r>
          <w:rPr>
            <w:noProof/>
            <w:webHidden/>
          </w:rPr>
          <w:fldChar w:fldCharType="end"/>
        </w:r>
      </w:hyperlink>
    </w:p>
    <w:p w14:paraId="0EE8D997" w14:textId="02D22B22"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9" w:history="1">
        <w:r w:rsidRPr="00993E92">
          <w:rPr>
            <w:rStyle w:val="Hyperlinkki"/>
            <w:b/>
            <w:bCs/>
            <w:noProof/>
            <w:lang w:val="en-GB"/>
          </w:rPr>
          <w:t>Code Snippet 4</w:t>
        </w:r>
        <w:r w:rsidRPr="00993E92">
          <w:rPr>
            <w:rStyle w:val="Hyperlinkki"/>
            <w:noProof/>
            <w:lang w:val="en-GB"/>
          </w:rPr>
          <w:t xml:space="preserve"> Test data</w:t>
        </w:r>
        <w:r>
          <w:rPr>
            <w:noProof/>
            <w:webHidden/>
          </w:rPr>
          <w:tab/>
        </w:r>
        <w:r>
          <w:rPr>
            <w:noProof/>
            <w:webHidden/>
          </w:rPr>
          <w:fldChar w:fldCharType="begin"/>
        </w:r>
        <w:r>
          <w:rPr>
            <w:noProof/>
            <w:webHidden/>
          </w:rPr>
          <w:instrText xml:space="preserve"> PAGEREF _Toc181645449 \h </w:instrText>
        </w:r>
        <w:r>
          <w:rPr>
            <w:noProof/>
            <w:webHidden/>
          </w:rPr>
        </w:r>
        <w:r>
          <w:rPr>
            <w:noProof/>
            <w:webHidden/>
          </w:rPr>
          <w:fldChar w:fldCharType="separate"/>
        </w:r>
        <w:r>
          <w:rPr>
            <w:noProof/>
            <w:webHidden/>
          </w:rPr>
          <w:t>44</w:t>
        </w:r>
        <w:r>
          <w:rPr>
            <w:noProof/>
            <w:webHidden/>
          </w:rPr>
          <w:fldChar w:fldCharType="end"/>
        </w:r>
      </w:hyperlink>
    </w:p>
    <w:p w14:paraId="6995E0E2" w14:textId="15F03CBE"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81649154"/>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5BAE94E0"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BE0C5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5BED6225"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BE0C50">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5464CCEB" w:rsidR="00E67935" w:rsidRDefault="0090660E" w:rsidP="0090660E">
      <w:pPr>
        <w:pStyle w:val="Kuvaotsikko"/>
        <w:jc w:val="both"/>
        <w:rPr>
          <w:lang w:val="en-US"/>
        </w:rPr>
      </w:pPr>
      <w:bookmarkStart w:id="26" w:name="_Toc181645446"/>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1D7B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1468DAD9"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BE0C50">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3389CB3D"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BE0C50">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204D8333"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BE0C50">
        <w:rPr>
          <w:b/>
          <w:bCs/>
          <w:noProof/>
          <w:lang w:val="en-GB"/>
        </w:rPr>
        <w:t>5</w:t>
      </w:r>
      <w:r w:rsidRPr="00C24081">
        <w:rPr>
          <w:b/>
          <w:bCs/>
        </w:rPr>
        <w:fldChar w:fldCharType="end"/>
      </w:r>
      <w:r w:rsidRPr="00102039">
        <w:rPr>
          <w:lang w:val="en-GB"/>
        </w:rPr>
        <w:t xml:space="preserve"> Refractoring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77E6283D" w:rsidR="00225600" w:rsidRDefault="00BE25E9" w:rsidP="00BE25E9">
      <w:pPr>
        <w:pStyle w:val="Kuvaotsikko"/>
        <w:jc w:val="both"/>
        <w:rPr>
          <w:lang w:val="en-GB"/>
        </w:rPr>
      </w:pPr>
      <w:bookmarkStart w:id="34" w:name="_Toc181625020"/>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BE0C50">
        <w:rPr>
          <w:b/>
          <w:bCs/>
          <w:noProof/>
        </w:rPr>
        <w:t>6</w:t>
      </w:r>
      <w:r w:rsidRPr="00FA6178">
        <w:rPr>
          <w:b/>
          <w:bCs/>
        </w:rPr>
        <w:fldChar w:fldCharType="end"/>
      </w:r>
      <w:r>
        <w:t xml:space="preserve"> Monolithic architecture</w:t>
      </w:r>
      <w:bookmarkEnd w:id="34"/>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4CE21164"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BE0C50">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47305816" w:rsidR="0013750D" w:rsidRDefault="000C2F81" w:rsidP="000C2F81">
      <w:pPr>
        <w:pStyle w:val="Kuvaotsikko"/>
        <w:jc w:val="both"/>
      </w:pPr>
      <w:bookmarkStart w:id="38" w:name="_Toc181625022"/>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BE0C50">
        <w:rPr>
          <w:b/>
          <w:bCs/>
          <w:noProof/>
        </w:rPr>
        <w:t>8</w:t>
      </w:r>
      <w:r w:rsidRPr="00FA6178">
        <w:rPr>
          <w:b/>
          <w:bCs/>
        </w:rPr>
        <w:fldChar w:fldCharType="end"/>
      </w:r>
      <w:r>
        <w:t xml:space="preserve"> Service oriented architecture</w:t>
      </w:r>
      <w:bookmarkEnd w:id="38"/>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38E6E13D"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BE0C50">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39FCFFCD"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BE0C50">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Web service architectures</w:t>
      </w:r>
      <w:bookmarkEnd w:id="45"/>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(Codeacademy)</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(Codeacademy)</w:t>
      </w:r>
    </w:p>
    <w:p w14:paraId="12F43F19" w14:textId="77777777" w:rsidR="00F84A20" w:rsidRPr="00206870" w:rsidRDefault="00F84A20" w:rsidP="00F84A20">
      <w:pPr>
        <w:pStyle w:val="Otsikko3"/>
        <w:rPr>
          <w:lang w:val="en-GB"/>
        </w:rPr>
      </w:pPr>
      <w:bookmarkStart w:id="47" w:name="_Toc181649185"/>
      <w:r>
        <w:rPr>
          <w:lang w:val="en-GB"/>
        </w:rPr>
        <w:lastRenderedPageBreak/>
        <w:t>GraphQL</w:t>
      </w:r>
      <w:bookmarkEnd w:id="47"/>
    </w:p>
    <w:p w14:paraId="2249594E" w14:textId="6B7D0233" w:rsidR="00795DE6" w:rsidRDefault="00206870" w:rsidP="00206870">
      <w:pPr>
        <w:rPr>
          <w:lang w:val="en-GB"/>
        </w:rPr>
      </w:pPr>
      <w:r>
        <w:rPr>
          <w:lang w:val="en-GB"/>
        </w:rPr>
        <w:t>GraphQL</w:t>
      </w:r>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The main idea behind GraphQL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a to get the dataset it needs, in GraphQL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64FCC968" w:rsidR="0069085D" w:rsidRPr="0069085D" w:rsidRDefault="00967D5F" w:rsidP="00FA317D">
      <w:pPr>
        <w:pStyle w:val="Kuvaotsikko"/>
        <w:jc w:val="both"/>
        <w:rPr>
          <w:lang w:val="en-GB"/>
        </w:rPr>
      </w:pPr>
      <w:bookmarkStart w:id="51" w:name="_Toc181625025"/>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00BE0C50">
        <w:rPr>
          <w:b/>
          <w:bCs/>
          <w:noProof/>
        </w:rPr>
        <w:t>11</w:t>
      </w:r>
      <w:r w:rsidRPr="00967D5F">
        <w:rPr>
          <w:b/>
          <w:bCs/>
        </w:rPr>
        <w:fldChar w:fldCharType="end"/>
      </w:r>
      <w:r>
        <w:t xml:space="preserve"> 3-tier architecture</w:t>
      </w:r>
      <w:bookmarkEnd w:id="51"/>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NotePad++</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r w:rsidR="00BD744E" w:rsidRPr="00BD744E">
        <w:rPr>
          <w:lang w:val="en-GB"/>
        </w:rPr>
        <w:t>Ghinaiya</w:t>
      </w:r>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bookmarkStart w:id="63" w:name="_Toc181649200"/>
      <w:r>
        <w:rPr>
          <w:lang w:val="en-GB"/>
        </w:rPr>
        <w:t>Founding the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OpenAPI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25306F69"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BE0C50">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xUnit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5FDF12AE"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BE0C50">
        <w:rPr>
          <w:b/>
          <w:bCs/>
          <w:noProof/>
          <w:lang w:val="en-GB"/>
        </w:rPr>
        <w:t>13</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lastRenderedPageBreak/>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2C7048B3"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BE0C50">
        <w:rPr>
          <w:b/>
          <w:bCs/>
          <w:noProof/>
          <w:lang w:val="en-GB"/>
        </w:rPr>
        <w:t>14</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lastRenderedPageBreak/>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473E736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B93779" w:rsidRPr="00B93779">
        <w:rPr>
          <w:noProof/>
        </w:rPr>
        <w:drawing>
          <wp:inline distT="0" distB="0" distL="0" distR="0" wp14:anchorId="6FA4376D" wp14:editId="068225C3">
            <wp:extent cx="5165863" cy="2466754"/>
            <wp:effectExtent l="0" t="0" r="0" b="0"/>
            <wp:docPr id="126177199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71996" name="Kuva 1" descr="Kuva, joka sisältää kohteen teksti, kuvakaappaus, Fontti&#10;&#10;Kuvaus luotu automaattisesti"/>
                    <pic:cNvPicPr/>
                  </pic:nvPicPr>
                  <pic:blipFill>
                    <a:blip r:embed="rId24"/>
                    <a:stretch>
                      <a:fillRect/>
                    </a:stretch>
                  </pic:blipFill>
                  <pic:spPr>
                    <a:xfrm>
                      <a:off x="0" y="0"/>
                      <a:ext cx="5189420" cy="2478003"/>
                    </a:xfrm>
                    <a:prstGeom prst="rect">
                      <a:avLst/>
                    </a:prstGeom>
                  </pic:spPr>
                </pic:pic>
              </a:graphicData>
            </a:graphic>
          </wp:inline>
        </w:drawing>
      </w:r>
    </w:p>
    <w:p w14:paraId="68746637" w14:textId="77624810" w:rsidR="00AE29C3" w:rsidRDefault="00FF56D7" w:rsidP="00FF56D7">
      <w:pPr>
        <w:pStyle w:val="Kuvaotsikko"/>
        <w:jc w:val="both"/>
        <w:rPr>
          <w:lang w:val="en-GB"/>
        </w:rPr>
      </w:pPr>
      <w:bookmarkStart w:id="68" w:name="_Toc181645447"/>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1D7B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lastRenderedPageBreak/>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5"/>
                    <a:stretch>
                      <a:fillRect/>
                    </a:stretch>
                  </pic:blipFill>
                  <pic:spPr>
                    <a:xfrm>
                      <a:off x="0" y="0"/>
                      <a:ext cx="5039995" cy="1043940"/>
                    </a:xfrm>
                    <a:prstGeom prst="rect">
                      <a:avLst/>
                    </a:prstGeom>
                  </pic:spPr>
                </pic:pic>
              </a:graphicData>
            </a:graphic>
          </wp:inline>
        </w:drawing>
      </w:r>
    </w:p>
    <w:p w14:paraId="4454F766" w14:textId="7CD2D036" w:rsidR="00456935" w:rsidRPr="00EF41FE" w:rsidRDefault="00456935" w:rsidP="00456935">
      <w:pPr>
        <w:pStyle w:val="Kuvaotsikko"/>
        <w:jc w:val="both"/>
        <w:rPr>
          <w:lang w:val="en-GB"/>
        </w:rPr>
      </w:pPr>
      <w:bookmarkStart w:id="69" w:name="_Toc181645448"/>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1D7B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lastRenderedPageBreak/>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44A665B5"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BE0C50">
        <w:rPr>
          <w:b/>
          <w:bCs/>
          <w:noProof/>
          <w:lang w:val="en-GB"/>
        </w:rPr>
        <w:t>15</w:t>
      </w:r>
      <w:r w:rsidRPr="0048304C">
        <w:rPr>
          <w:b/>
          <w:bCs/>
        </w:rPr>
        <w:fldChar w:fldCharType="end"/>
      </w:r>
      <w:r w:rsidRPr="00484E17">
        <w:rPr>
          <w:lang w:val="en-GB"/>
        </w:rPr>
        <w:t xml:space="preserve"> Database view of AccountTable</w:t>
      </w:r>
      <w:bookmarkEnd w:id="70"/>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7"/>
                    <a:stretch>
                      <a:fillRect/>
                    </a:stretch>
                  </pic:blipFill>
                  <pic:spPr>
                    <a:xfrm>
                      <a:off x="0" y="0"/>
                      <a:ext cx="5039995" cy="2522855"/>
                    </a:xfrm>
                    <a:prstGeom prst="rect">
                      <a:avLst/>
                    </a:prstGeom>
                  </pic:spPr>
                </pic:pic>
              </a:graphicData>
            </a:graphic>
          </wp:inline>
        </w:drawing>
      </w:r>
    </w:p>
    <w:p w14:paraId="019DE4A1" w14:textId="3E77C7DD" w:rsidR="001D7B17" w:rsidRPr="00CD465C" w:rsidRDefault="001D7B17" w:rsidP="001D7B17">
      <w:pPr>
        <w:pStyle w:val="Kuvaotsikko"/>
        <w:jc w:val="both"/>
        <w:rPr>
          <w:lang w:val="en-GB"/>
        </w:rPr>
      </w:pPr>
      <w:bookmarkStart w:id="71" w:name="_Toc181645449"/>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Pr="00CD465C">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w:t>
      </w:r>
      <w:r>
        <w:rPr>
          <w:lang w:val="en-GB"/>
        </w:rPr>
        <w:lastRenderedPageBreak/>
        <w:t xml:space="preserve">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8"/>
                    <a:stretch>
                      <a:fillRect/>
                    </a:stretch>
                  </pic:blipFill>
                  <pic:spPr>
                    <a:xfrm>
                      <a:off x="0" y="0"/>
                      <a:ext cx="3429479" cy="1009791"/>
                    </a:xfrm>
                    <a:prstGeom prst="rect">
                      <a:avLst/>
                    </a:prstGeom>
                  </pic:spPr>
                </pic:pic>
              </a:graphicData>
            </a:graphic>
          </wp:inline>
        </w:drawing>
      </w:r>
    </w:p>
    <w:p w14:paraId="4C937710" w14:textId="2CF1233A"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BE0C50">
        <w:rPr>
          <w:b/>
          <w:bCs/>
          <w:noProof/>
          <w:lang w:val="en-GB"/>
        </w:rPr>
        <w:t>16</w:t>
      </w:r>
      <w:r w:rsidRPr="00CD465C">
        <w:rPr>
          <w:b/>
          <w:bCs/>
        </w:rPr>
        <w:fldChar w:fldCharType="end"/>
      </w:r>
      <w:r w:rsidRPr="00740A75">
        <w:rPr>
          <w:lang w:val="en-GB"/>
        </w:rPr>
        <w:t xml:space="preserve"> Succesfull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OpenAPI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29"/>
                    <a:stretch>
                      <a:fillRect/>
                    </a:stretch>
                  </pic:blipFill>
                  <pic:spPr>
                    <a:xfrm>
                      <a:off x="0" y="0"/>
                      <a:ext cx="4715660" cy="3114463"/>
                    </a:xfrm>
                    <a:prstGeom prst="rect">
                      <a:avLst/>
                    </a:prstGeom>
                  </pic:spPr>
                </pic:pic>
              </a:graphicData>
            </a:graphic>
          </wp:inline>
        </w:drawing>
      </w:r>
    </w:p>
    <w:p w14:paraId="679DFDC5" w14:textId="1950ECAD"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BE0C50">
        <w:rPr>
          <w:b/>
          <w:bCs/>
          <w:noProof/>
          <w:lang w:val="en-GB"/>
        </w:rPr>
        <w:t>17</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0"/>
                    <a:stretch>
                      <a:fillRect/>
                    </a:stretch>
                  </pic:blipFill>
                  <pic:spPr>
                    <a:xfrm>
                      <a:off x="0" y="0"/>
                      <a:ext cx="2467319" cy="1676634"/>
                    </a:xfrm>
                    <a:prstGeom prst="rect">
                      <a:avLst/>
                    </a:prstGeom>
                  </pic:spPr>
                </pic:pic>
              </a:graphicData>
            </a:graphic>
          </wp:inline>
        </w:drawing>
      </w:r>
    </w:p>
    <w:p w14:paraId="12B211CA" w14:textId="24C8AEF9" w:rsidR="00014C70" w:rsidRDefault="00014C70" w:rsidP="00014C70">
      <w:pPr>
        <w:pStyle w:val="Kuvaotsikko"/>
        <w:jc w:val="both"/>
      </w:pPr>
      <w:bookmarkStart w:id="74" w:name="_Toc181625032"/>
      <w:r w:rsidRPr="00014C70">
        <w:rPr>
          <w:b/>
          <w:bCs/>
        </w:rPr>
        <w:t xml:space="preserve">Figure </w:t>
      </w:r>
      <w:r w:rsidRPr="00014C70">
        <w:rPr>
          <w:b/>
          <w:bCs/>
        </w:rPr>
        <w:fldChar w:fldCharType="begin"/>
      </w:r>
      <w:r w:rsidRPr="00014C70">
        <w:rPr>
          <w:b/>
          <w:bCs/>
        </w:rPr>
        <w:instrText xml:space="preserve"> SEQ Figure \* ARABIC </w:instrText>
      </w:r>
      <w:r w:rsidRPr="00014C70">
        <w:rPr>
          <w:b/>
          <w:bCs/>
        </w:rPr>
        <w:fldChar w:fldCharType="separate"/>
      </w:r>
      <w:r w:rsidR="00BE0C50">
        <w:rPr>
          <w:b/>
          <w:bCs/>
          <w:noProof/>
        </w:rPr>
        <w:t>18</w:t>
      </w:r>
      <w:r w:rsidRPr="00014C70">
        <w:rPr>
          <w:b/>
          <w:bCs/>
        </w:rPr>
        <w:fldChar w:fldCharType="end"/>
      </w:r>
      <w: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SonarAnalyzer.CSharp, which can be installed via the nuget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1"/>
                    <a:stretch>
                      <a:fillRect/>
                    </a:stretch>
                  </pic:blipFill>
                  <pic:spPr>
                    <a:xfrm>
                      <a:off x="0" y="0"/>
                      <a:ext cx="3124636" cy="1038370"/>
                    </a:xfrm>
                    <a:prstGeom prst="rect">
                      <a:avLst/>
                    </a:prstGeom>
                  </pic:spPr>
                </pic:pic>
              </a:graphicData>
            </a:graphic>
          </wp:inline>
        </w:drawing>
      </w:r>
    </w:p>
    <w:p w14:paraId="1BF2A401" w14:textId="4F969222"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BE0C50">
        <w:rPr>
          <w:noProof/>
          <w:lang w:val="en-GB"/>
        </w:rPr>
        <w:t>19</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2"/>
                    <a:stretch>
                      <a:fillRect/>
                    </a:stretch>
                  </pic:blipFill>
                  <pic:spPr>
                    <a:xfrm>
                      <a:off x="0" y="0"/>
                      <a:ext cx="5039995" cy="376555"/>
                    </a:xfrm>
                    <a:prstGeom prst="rect">
                      <a:avLst/>
                    </a:prstGeom>
                  </pic:spPr>
                </pic:pic>
              </a:graphicData>
            </a:graphic>
          </wp:inline>
        </w:drawing>
      </w:r>
    </w:p>
    <w:p w14:paraId="27A0E406" w14:textId="625894C4" w:rsidR="00E24527" w:rsidRDefault="00BE0C50" w:rsidP="00E24527">
      <w:pPr>
        <w:pStyle w:val="Kuvaotsikko"/>
        <w:jc w:val="both"/>
      </w:pPr>
      <w:r w:rsidRPr="00BE0C50">
        <w:rPr>
          <w:b/>
          <w:bCs/>
        </w:rPr>
        <w:t xml:space="preserve">Figure </w:t>
      </w:r>
      <w:r w:rsidRPr="00BE0C50">
        <w:rPr>
          <w:b/>
          <w:bCs/>
        </w:rPr>
        <w:fldChar w:fldCharType="begin"/>
      </w:r>
      <w:r w:rsidRPr="00BE0C50">
        <w:rPr>
          <w:b/>
          <w:bCs/>
        </w:rPr>
        <w:instrText xml:space="preserve"> SEQ Figure \* ARABIC </w:instrText>
      </w:r>
      <w:r w:rsidRPr="00BE0C50">
        <w:rPr>
          <w:b/>
          <w:bCs/>
        </w:rPr>
        <w:fldChar w:fldCharType="separate"/>
      </w:r>
      <w:r w:rsidRPr="00BE0C50">
        <w:rPr>
          <w:b/>
          <w:bCs/>
          <w:noProof/>
        </w:rPr>
        <w:t>20</w:t>
      </w:r>
      <w:r w:rsidRPr="00BE0C50">
        <w:rPr>
          <w:b/>
          <w:bCs/>
        </w:rPr>
        <w:fldChar w:fldCharType="end"/>
      </w:r>
      <w: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546510DF"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They are vast ensembles on their own and are not a part of this thesis.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30D26E3" w14:textId="1A071278" w:rsidR="00FF0341" w:rsidRDefault="00FF0341" w:rsidP="00B8679B">
      <w:pPr>
        <w:rPr>
          <w:lang w:val="en-GB"/>
        </w:rPr>
      </w:pPr>
      <w:r>
        <w:rPr>
          <w:lang w:val="en-GB"/>
        </w:rPr>
        <w:t xml:space="preserve">Using the template, it is simple to setup a UI that is navigable (Figure 21). On the left-hand side are the main categories that enable management, such as maintenance and sales statistics. Each category is a collapsable menu item that opens </w:t>
      </w:r>
      <w:r>
        <w:rPr>
          <w:lang w:val="en-GB"/>
        </w:rPr>
        <w:lastRenderedPageBreak/>
        <w:t>more nuanced management categories.</w:t>
      </w:r>
      <w:r w:rsidR="006E134D">
        <w:rPr>
          <w:lang w:val="en-GB"/>
        </w:rPr>
        <w:t xml:space="preserve"> Clicking a category opens a form that allows editing values and settings for each system. Under the maintenance main category exists the system bookkeeping accounts from previous chapter. </w:t>
      </w:r>
    </w:p>
    <w:p w14:paraId="2B62C82B" w14:textId="77777777" w:rsidR="00974215" w:rsidRPr="00B8679B" w:rsidRDefault="00974215" w:rsidP="00B8679B">
      <w:pPr>
        <w:rPr>
          <w:lang w:val="en-GB"/>
        </w:rPr>
      </w:pPr>
    </w:p>
    <w:p w14:paraId="40142CEF" w14:textId="71420B8A" w:rsidR="006120E9" w:rsidRDefault="006120E9" w:rsidP="006120E9">
      <w:pPr>
        <w:pStyle w:val="Otsikko2"/>
        <w:rPr>
          <w:lang w:val="en-GB"/>
        </w:rPr>
      </w:pPr>
      <w:bookmarkStart w:id="77" w:name="_Toc181649203"/>
      <w:r>
        <w:rPr>
          <w:lang w:val="en-GB"/>
        </w:rPr>
        <w:t>Integrating to legacy</w:t>
      </w:r>
      <w:bookmarkEnd w:id="77"/>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8" w:name="_Toc181649204"/>
      <w:bookmarkEnd w:id="1"/>
      <w:bookmarkEnd w:id="2"/>
      <w:bookmarkEnd w:id="3"/>
      <w:bookmarkEnd w:id="4"/>
      <w:r w:rsidRPr="00BF429D">
        <w:rPr>
          <w:rFonts w:cstheme="minorHAnsi"/>
          <w:lang w:val="en-GB"/>
        </w:rPr>
        <w:lastRenderedPageBreak/>
        <w:t>References</w:t>
      </w:r>
      <w:bookmarkEnd w:id="78"/>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GeeksForGeeks.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Programming Language Statistics. ITJobsWatch.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VB6 IDE AddIns - What's essential?</w:t>
      </w:r>
      <w:r>
        <w:rPr>
          <w:lang w:val="en-US"/>
        </w:rPr>
        <w:t>. VBForums. Retrieved 202</w:t>
      </w:r>
      <w:r w:rsidR="004C57C0">
        <w:rPr>
          <w:lang w:val="en-US"/>
        </w:rPr>
        <w:t>4</w:t>
      </w:r>
      <w:r>
        <w:rPr>
          <w:lang w:val="en-US"/>
        </w:rPr>
        <w:t xml:space="preserve">-05-12. </w:t>
      </w:r>
      <w:hyperlink r:id="rId33"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Retrieved: 202</w:t>
      </w:r>
      <w:r w:rsidR="004C57C0">
        <w:rPr>
          <w:lang w:val="en-US"/>
        </w:rPr>
        <w:t>4</w:t>
      </w:r>
      <w:r>
        <w:rPr>
          <w:lang w:val="en-US"/>
        </w:rPr>
        <w:t xml:space="preserve">-05-12. </w:t>
      </w:r>
      <w:hyperlink r:id="rId34"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35"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36"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37"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38"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r>
        <w:t>Codeacademy.</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What is GraphQL?</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39"/>
          <w:footerReference w:type="default" r:id="rId40"/>
          <w:pgSz w:w="11906" w:h="16838"/>
          <w:pgMar w:top="1701" w:right="1701" w:bottom="1701" w:left="2268" w:header="1134" w:footer="709" w:gutter="0"/>
          <w:cols w:space="708"/>
          <w:docGrid w:linePitch="360"/>
        </w:sectPr>
      </w:pPr>
      <w:r w:rsidRPr="00231B62">
        <w:t>Ghinaiya</w:t>
      </w:r>
      <w:r>
        <w:t>, S</w:t>
      </w:r>
      <w:r w:rsidRPr="00231B62">
        <w:t>.</w:t>
      </w:r>
      <w:r>
        <w:t xml:space="preserve"> 19.6.2024. </w:t>
      </w:r>
      <w:r w:rsidRPr="00B13A43">
        <w:t xml:space="preserve">Testgrid.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79" w:name="_Toc181649205"/>
      <w:r w:rsidRPr="001317F6">
        <w:rPr>
          <w:rFonts w:cstheme="minorHAnsi"/>
          <w:lang w:val="en-GB"/>
        </w:rPr>
        <w:lastRenderedPageBreak/>
        <w:t>Appendices</w:t>
      </w:r>
      <w:bookmarkEnd w:id="79"/>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0" w:name="_Hlk138775426"/>
      <w:r>
        <w:rPr>
          <w:b/>
          <w:lang w:val="en-US"/>
        </w:rPr>
        <w:t>WHAT TO INCLUDE TO APPENDICES</w:t>
      </w:r>
      <w:r w:rsidRPr="007A0FD2">
        <w:rPr>
          <w:b/>
          <w:lang w:val="en-US"/>
        </w:rPr>
        <w:t xml:space="preserve"> </w:t>
      </w:r>
    </w:p>
    <w:bookmarkEnd w:id="80"/>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1"/>
      <w:footerReference w:type="default" r:id="rId42"/>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DA9F" w14:textId="77777777" w:rsidR="00984B47" w:rsidRDefault="00984B47" w:rsidP="005D0FA6">
      <w:r>
        <w:separator/>
      </w:r>
    </w:p>
    <w:p w14:paraId="72CBDACD" w14:textId="77777777" w:rsidR="00984B47" w:rsidRDefault="00984B47"/>
  </w:endnote>
  <w:endnote w:type="continuationSeparator" w:id="0">
    <w:p w14:paraId="404755F0" w14:textId="77777777" w:rsidR="00984B47" w:rsidRDefault="00984B47" w:rsidP="005D0FA6">
      <w:r>
        <w:continuationSeparator/>
      </w:r>
    </w:p>
    <w:p w14:paraId="0BB89C60" w14:textId="77777777" w:rsidR="00984B47" w:rsidRDefault="00984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DACBF" w14:textId="77777777" w:rsidR="00984B47" w:rsidRDefault="00984B47" w:rsidP="005D0FA6">
      <w:r>
        <w:separator/>
      </w:r>
    </w:p>
    <w:p w14:paraId="5AF8D60E" w14:textId="77777777" w:rsidR="00984B47" w:rsidRDefault="00984B47"/>
  </w:footnote>
  <w:footnote w:type="continuationSeparator" w:id="0">
    <w:p w14:paraId="7632D6E5" w14:textId="77777777" w:rsidR="00984B47" w:rsidRDefault="00984B47" w:rsidP="005D0FA6">
      <w:r>
        <w:continuationSeparator/>
      </w:r>
    </w:p>
    <w:p w14:paraId="176B0163" w14:textId="77777777" w:rsidR="00984B47" w:rsidRDefault="00984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2"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3"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2"/>
  </w:num>
  <w:num w:numId="2" w16cid:durableId="1546671988">
    <w:abstractNumId w:val="3"/>
  </w:num>
  <w:num w:numId="3" w16cid:durableId="460270334">
    <w:abstractNumId w:val="2"/>
  </w:num>
  <w:num w:numId="4" w16cid:durableId="1096442699">
    <w:abstractNumId w:val="14"/>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1"/>
  </w:num>
  <w:num w:numId="10" w16cid:durableId="859054199">
    <w:abstractNumId w:val="10"/>
  </w:num>
  <w:num w:numId="11" w16cid:durableId="1399667341">
    <w:abstractNumId w:val="12"/>
  </w:num>
  <w:num w:numId="12" w16cid:durableId="1933736203">
    <w:abstractNumId w:val="13"/>
  </w:num>
  <w:num w:numId="13" w16cid:durableId="558789012">
    <w:abstractNumId w:val="1"/>
  </w:num>
  <w:num w:numId="14" w16cid:durableId="1345716441">
    <w:abstractNumId w:val="4"/>
  </w:num>
  <w:num w:numId="15" w16cid:durableId="1837303790">
    <w:abstractNumId w:val="0"/>
  </w:num>
  <w:num w:numId="16" w16cid:durableId="97664420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766C"/>
    <w:rsid w:val="00017C53"/>
    <w:rsid w:val="00017CCC"/>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256E"/>
    <w:rsid w:val="006F309F"/>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54E7"/>
    <w:rsid w:val="007A636C"/>
    <w:rsid w:val="007B0B9D"/>
    <w:rsid w:val="007B57A5"/>
    <w:rsid w:val="007B64F7"/>
    <w:rsid w:val="007C0053"/>
    <w:rsid w:val="007C00A7"/>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onlinelibrary.wiley.com/doi/epdf/10.1002/spe.3082"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vbforums.com/showthread.php?804911-VB6-IDE-AddIns-What-s-essential" TargetMode="External"/><Relationship Id="rId38" Type="http://schemas.openxmlformats.org/officeDocument/2006/relationships/hyperlink" Target="https://martinfowler.com/articles/patterns-legacy-displacement/transitional-architectur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learn.microsoft.com/en-us/azure/architecture/patterns/strangler-fi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artinfowler.com/bliki/TestDrivenDevelopmen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edium.com/capital-one-tech/lessons-from-the-leadership-trenches-how-do-i-choose-the-right-programming-language-for-my-team-36222aa78b38"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34D7"/>
    <w:rsid w:val="001716D0"/>
    <w:rsid w:val="00197493"/>
    <w:rsid w:val="001F2554"/>
    <w:rsid w:val="00234C4A"/>
    <w:rsid w:val="002C597A"/>
    <w:rsid w:val="00333D15"/>
    <w:rsid w:val="00380F1F"/>
    <w:rsid w:val="00381E2D"/>
    <w:rsid w:val="003B1421"/>
    <w:rsid w:val="003E2CB6"/>
    <w:rsid w:val="0041318B"/>
    <w:rsid w:val="004D7C9B"/>
    <w:rsid w:val="006107FE"/>
    <w:rsid w:val="006411BC"/>
    <w:rsid w:val="006E1559"/>
    <w:rsid w:val="00720306"/>
    <w:rsid w:val="00776CAB"/>
    <w:rsid w:val="00793899"/>
    <w:rsid w:val="0087096C"/>
    <w:rsid w:val="008C3D68"/>
    <w:rsid w:val="00904370"/>
    <w:rsid w:val="00924B8C"/>
    <w:rsid w:val="00A03D01"/>
    <w:rsid w:val="00A22DAC"/>
    <w:rsid w:val="00BC7A49"/>
    <w:rsid w:val="00BF2290"/>
    <w:rsid w:val="00C10F24"/>
    <w:rsid w:val="00D27F53"/>
    <w:rsid w:val="00D35CBF"/>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115077</TotalTime>
  <Pages>53</Pages>
  <Words>7696</Words>
  <Characters>62346</Characters>
  <Application>Microsoft Office Word</Application>
  <DocSecurity>0</DocSecurity>
  <Lines>519</Lines>
  <Paragraphs>139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69903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505</cp:revision>
  <cp:lastPrinted>2017-11-23T05:47:00Z</cp:lastPrinted>
  <dcterms:created xsi:type="dcterms:W3CDTF">2024-05-04T21:11:00Z</dcterms:created>
  <dcterms:modified xsi:type="dcterms:W3CDTF">2024-11-24T10:14:00Z</dcterms:modified>
</cp:coreProperties>
</file>