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ПРОИЗВОДСТВЕННАЯ ПРАКТИКА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НЕДЕЛЯ 3: ЦЕНТР СЕРТИФИКАЦИИ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Выполнил: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Студент группы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BDA-2407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Тулентай Р.Е.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Проверил: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 </w:t>
        <w:br/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Руководитель практики от предприятия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К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им Г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.С.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Руководитель практики от AITU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Толеубек М.Т.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Структурированное введение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Третья неделя практики посвящена методологическим и организационно-правовым аспектам сертификации программного обеспечения. В центре внимания находится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криптографический модуль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, как один из наиболее критичных компонентов современных систем защиты информации.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Деятельность распределена по трем взаимосвязанным этапам: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Аналитический этап (Задание 7):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Исследование глобальных подходов к стандартизации и безопасности (Common Criteria, FIPS 140-3).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Методологический этап (Задание 8):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Создание ведомственного нормативного документа — Методики оценки безопасности криптографического модуля.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Проектный этап (Задание 9):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Моделирование архитектуры и бизнес-процессов идеальной испытательной лаборатории.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7. ИССЛЕДОВАНИЕ КРИПТОГРАФИЧЕСКИХ МЕХАНИЗМОВ ПРОГРАММНОГО ПРОДУКТА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Результат: 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Сравнительный анализ международных систем оценки безопасности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рамках выполнения задач третьей недели производственной практики был проведён сравнительный анализ ключевых международных систем, стандартов и нормативных фреймворков, регламентирующих оценку безопасности информационных технологий и программных продуктов. Основное внимание в ходе исследования было сфокусировано на специфике сертификации высокорисовых компонентов, в частности - средств криптографической защиты информации (СКЗИ) и модулей, использующих элементы искусственного интеллекта.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118"/>
        <w:gridCol w:w="1355"/>
        <w:gridCol w:w="2647"/>
        <w:gridCol w:w="1894"/>
        <w:gridCol w:w="2013"/>
      </w:tblGrid>
      <w:tr>
        <w:tc>
          <w:tcPr>
            <w:tcW w:w="111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Критерий сравнения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5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Common Criteria (ISO/IEC 15408)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47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FIPS 140-3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9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European Cybersecurity Certification Framework (EUCC)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1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AI Security Certification (ISO/IEC 42001 / EU AI Act)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1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    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Область применения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5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Любые ИТ-продукты (ОС, СУБД, СЗИ)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47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Исключительно криптографические модули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9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ИКТ-продукты, услуги и процессы в границах ЕС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1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Системы ИИ и машинного обучения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1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Уровень доверия / Оценки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5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EAL1 – EAL7 (Уровни оценочной уверенности)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47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Security Level 1 – Level 4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9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Основной (Substantial), Высокий (High)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1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Классификация по уровням риска (от минимального до неприемлемого)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1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Методология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5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Профиль защиты (PP) и Задание по безопасности (ST)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47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Строгие технологические требования к аппаратному/ПО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9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Гармонизация национальных схем стран ЕС (SOG-IS)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1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Оценка предвзятости, объяснимости (XAI), устойчивости к состязательным атакам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118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Специфика проверки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55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Анализ исходного кода, уязвимостей, процессов разработки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647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Тестирование физической защиты, генерации ключей, нулевых состояний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894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Кросс-граничное признание сертификатов внутри Европы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2013" w:type="dxa"/>
            <w:tcBorders>
              <w:top w:color="000000" w:sz="4" w:val="single"/>
              <w:start w:color="000000" w:sz="4" w:val="single"/>
              <w:bottom w:color="000000" w:sz="4" w:val="single"/>
              <w:end w:color="000000" w:sz="4" w:val="singl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Times New Roman" w:hAnsi="Times New Roman" w:cs="Times New Roman" w:eastAsia="Times New Roman"/>
                <w:color w:val="000000"/>
                <w:sz w:val="24"/>
                <w:szCs w:val="24"/>
              </w:rPr>
              <w:t xml:space="preserve">Аудит жизненного цикла данных и моделей
</w:t>
            </w:r>
          </w:p>
          <w:p>
            <w:pPr>
              <w:spacing w:after="120" w:before="120" w:line="240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Вывод эксперта: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Проведённый анализ в очередной раз показывает, что для комплексной оценки такого объекта испытаний, как криптографический модуль, общих критериев стандарта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 xml:space="preserve"> Common Criteria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зачастую недостаточно. Наиболее жёсткий и релевантный контроль технологических параметров обеспечивается специализированным стандартом FIPS 140-3. Полученные аналитические данные легли в основу разработки собственной Методики оценки безопасности в следующем задании.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8. РАЗРАБОТКА МЕТОДИКИ ОЦЕНКИ БЕЗОПАСНОСТИ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Объект безопасности: 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Криптографический модуль (аппаратный/программный)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Результат: 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Проект документа «Методика оценки безопасности»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МЕТОДИКА ОЦЕНКИ БЕЗОПАСНОСТИ КРИПТОГРАФИЧЕСКОГО МОДУЛЯ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8.1. Общие положения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Данная методика определяет порядок, методы и критерии оценки соответствия криптографического модуля требованиям информационной безопасности на основе стандартов ГОСТ Р 34.12-2015 / FIPS 140-3.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8.2. Объекты испытаний и границы оценки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Спецификация криптографического модуля (архитектура, интерфейсы).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Механизмы генерации, распределения, сбора, обработки, хранения и устранения ключевой информации.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Исполняемый код и физические/логические границы модуля. 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8.3. Перечень проверяемых показателей и методы оценки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Проверка спецификации портов и интерфейсов: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Анализ документации и тестирование логического подразделения потоков данных (данные, управление, статус, питание).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Проверка ролей и аутентификации: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Проверка реализации роли Администратора (Crypto Officer) и роли Пользователя. Метод: попытка несанкционированного доступа без авторизации. 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Оценка безопасности жизненного цикла ключей: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Проверка использования криптостойкого ГПСЧ (согласно ISO/IEC 18031).  Метод: статистические тесты NIST STS на случайность последовательностей. 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Контроль нулевого состояния: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Проверка процедуры экстренного устранения ключей при компрометации. Метод: имитация атаки и проверка перезаписи областей памяти нулевыми байтами. 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8.4. Критерии успешностей прохождения испытаний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Модуль считается прошедшим оценку, если по всем пунктам чек-листа зафиксировано отсутствие критических уязвимостей и полное соответствие заявленному уровню защищённости.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ГЛАВА 9. ИТОГОВЫЙ ПРОЕКТ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Тема: 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>«Разработка модели испытательной лаборатории»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9.1. Область аккредитации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Испытания программных, программно-аппаратных средств защиты информации, средств криптографической защиты данных (СКЗИ), систем аутентификации и контроля целостности на соответствие требованиям государственных и международных стандартов.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9.2. Перечень проводимых испытаний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Анализ исходного кода на наличие программных закладок и недекларированных возможностей (НДВ).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Криптографический анализ и тестирование реализации шифрования.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Тестирование функций защиты от проведения атак (инъекции, взлом, DDoS-атака, обход авторизации).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9.3. Необходимое оборудование и программные средства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Аппаратные: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Изолированные испытательные стенды (серверы аутентификации), криптографические аппаратные токены, генераторы помех (для аппаратных тестов).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Программные средства: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Статические анализаторы кода (SAST), фаззинг-тестировщики (Defensics), программные комплексы анализа криптографических протоколов (Wireshark, Burp Suite Pro).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9.4. Состав экспертов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Руководитель лаборатории (управление, аттестация).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Ведущий эксперт по криптографическому анализу.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Инженер-тестировщик (эксперт по уязвимости ПО).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Специалист по качеству и ведению испытательных досье.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9.5. Порядок ведения испытаний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Прием заявки и формирование испытательного досье.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Разработка программы и методики испытаний.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Проведение инструментальных проверок (запуск тестов).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Фиксация результатов в протоколах.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Выдача экспертного заключения.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9.6. Структура отчётности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Включает в себя: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Вводную часть (карточка продукта), 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Протоколы по каждому виду тестов, 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Ведомость несоответствий (если найдены ошибки в испытании),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Заключение о соответствии.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ЗАКЛЮЧЕНИЕ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В ходе выполнения задач итогового проекта третьей недели была успешно разработана комплексная организационно-техническая модель испытательной лаборатории, специализирующейся на оценке безопасности программных и программно-аппаратных средств защиты информации, включая СКЗИ.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На основе спроектированной структуры, испытаний, проведенного анализа и выполненных работ, можно сделать следующие выводы: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Валидность области аккредитации: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Сформированная область аккредитации (п. 9.1) и перечень испытаний  (п. 9.2) полностью закрывают современные необходимости рынка в виде защищённого ПО. Особый упор на поиск недекларированных возможностей (НДВ), крипто-анализ и стресс-тестирование против актуальных векторов (DDoS, инъекции) обеспечивает лаборатории высокую конкурентоспособность и соответствие государственным стандартам. 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Техническая и кадровая синергия: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Выбранный комплекс программно-аппаратных средств (п. 9.3) - от изолированных стендов до передовых SAST и фаззинг-тестировщиков (Defensics, Burp Suite Pro) - оптимально сбалансирован под кадровый состав лаборатории (п. 9.4). Наличие узкоспециализированных экспертов гарантирует максимальную точность инструментальных проверок и анализов, а офицер по качеству исключает риски методологических ошибок.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>Регламентация процессов: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 Предложенный пошаговый порядок ведения испытаний (п. 9.5) выстраивает прозрачный сквозной конвейер: от фиксации заявки до формирования итогового испытательного досье. Чётко структурированная отчётность (п. 9.6), включающая ведомость несоответствий и финальное заключение, обеспечивает юридическую силу и прозрачность итоговых результатов для Центра сертификации и конечного заказчика.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2"/>
          <w:szCs w:val="32"/>
        </w:rPr>
        <w:t xml:space="preserve">Итоговый вердикт: </w:t>
      </w:r>
      <w:r>
        <w:rPr>
          <w:rFonts w:ascii="Times New Roman" w:hAnsi="Times New Roman" w:cs="Times New Roman" w:eastAsia="Times New Roman"/>
          <w:color w:val="000000"/>
          <w:sz w:val="32"/>
          <w:szCs w:val="32"/>
        </w:rPr>
        <w:t xml:space="preserve">Спроектированная модель испытательной лаборатории представляет собой функционально полную, автономную и технически оснащённую единицу инфраструктуры информационной безопасности. Она полностью готова к практическому развёртыванию, симуляции реальных испытательных процессов и эффективному формированию кадрового резерва в области сертификации высокорискового программного обеспечения.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СПИСОК ИСПОЛЬЗОВАННОЙ ЛИТЕРАТУРЫ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Нормативно-правовые акты и государственные стандарты: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ГОСТ Р ИСО/МЭК 15408-1-2012.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Информационная технология. Методы и средства обеспечения безопасности. Критерии оценки безопасности информационных технологий. Часть 1. Введение и общая модель. – М.: Стандартинформ, 2013.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ГОСТ Р 34.12-2015.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Информационная технология. Криптографическая защита информации. Блочные шифры. – М.: Стандартинформ, 2015. 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ГОСТ Р 34.13-2015.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Информационная технология. Криптографическая защита информации. Режимы работы блочных шифров. – М.: Стандартинформ, 2015. 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ГОСТ Р ИСО/МЭК 25051-2014.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Информационные технологии. Системная и программная инженерия. Требования к качеству готового программного продукта (RUSQUAR) и инструкции по тестированию. – М.: Стандартинформ, 2015.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Международные стандарты и методологии: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5.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ISO/IEC 25010:2011. Systems and software engineering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— Systems and software Quality Requirements and Evaluation (Square) — Quality models. – International Organization for Standardization, 2011.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6.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FIPS PUB 140-3. Security Requirements for Cryptographic Modules.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– National Institute of Standards and Technology (NIST), 2019.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7.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Regulation (EU) 2019/881 of the European Parliament and of the Council (Cybersecurity Act / EUCC framework).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– Official Journal of the European Union, 2019.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8.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NIST Special Publication 800-22 Rev. 1a. A Statistical Test Suite for Random and Pseudorandom Number Generators for Cryptographic Applications.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– NIST, 2010.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Учебная литература, монографии и технические руководства: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9.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Бабаш, А. В., Шанкин, Г. П. Криптография: Учебное пособие.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– М.: СОЛОН-Пресс, 2021. – 512 с.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10.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Шнайер, Б. Прикладная криптография. Протоколы, алгоритмы, исходные тексты на языке Си.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– М.: Триумф, 2019. – 816 с.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11.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Хопкинс, К. Разработка систем на Python и работа с неструктурированными данными в NoSQL.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– СПб.: БХВ-Петербург, 2023. – 384 с.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12.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 MongoDB Inc. MongoDB Professional Documentation.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Официальное руководство разработчика и администратора СУБД MongoDB. [Электронный ресурс]. URL: </w:t>
      </w:r>
      <w:hyperlink r:id="rId4">
        <w:r>
          <w:rPr>
            <w:rFonts w:ascii="Times New Roman" w:hAnsi="Times New Roman" w:cs="Times New Roman" w:eastAsia="Times New Roman"/>
            <w:color w:val="1a62ff"/>
            <w:sz w:val="30"/>
            <w:szCs w:val="30"/>
            <w:u w:val="single" w:color="1a62ff"/>
          </w:rPr>
          <w:t>https://www.mongodb.com/docs/</w:t>
        </w:r>
      </w:hyperlink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(дата обращения: 29.06.2026).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13.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 OWASP Top 10:2021.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Руководство по безопасности веб-приложений и поиску уязвимостей в исходном коде. [Электронный ресурс]. URL: </w:t>
      </w:r>
      <w:hyperlink r:id="rId5">
        <w:r>
          <w:rPr>
            <w:rFonts w:ascii="Times New Roman" w:hAnsi="Times New Roman" w:cs="Times New Roman" w:eastAsia="Times New Roman"/>
            <w:color w:val="1a62ff"/>
            <w:sz w:val="30"/>
            <w:szCs w:val="30"/>
            <w:u w:val="single" w:color="1a62ff"/>
          </w:rPr>
          <w:t>https://owasp.org/www-project-top-ten/</w:t>
        </w:r>
      </w:hyperlink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(дата обращения: 29.06.2026).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Italics">
    <w:panose1 w:val="020B0604020202090204"/>
    <w:charset w:characterSet="1"/>
    <w:embedItalic r:id="rId4"/>
  </w:font>
  <w:font w:name="Times New Roman Bold">
    <w:panose1 w:val="02020803070505020304"/>
    <w:charset w:characterSet="1"/>
  </w:font>
  <w:font w:name="Times New Roman Bold Italics">
    <w:panose1 w:val="02020703060505090304"/>
    <w:charset w:characterSet="1"/>
  </w:font>
  <w:font w:name="Times New Roman">
    <w:panose1 w:val="02020603050405020304"/>
    <w:charset w:characterSet="1"/>
  </w:font>
  <w:font w:name="Times New Roman Italics">
    <w:panose1 w:val="02020503050405090304"/>
    <w:charset w:characterSet="1"/>
  </w:font>
  <w:font w:name="Calibri (MS) Light">
    <w:panose1 w:val="020F0302020204030204"/>
    <w:charset w:characterSet="1"/>
  </w:font>
  <w:font w:name="Calibri (MS) Light Italics">
    <w:panose1 w:val="020F0302020204030204"/>
    <w:charset w:characterSet="1"/>
  </w:font>
  <w:font w:name="Calibri (MS) Bold">
    <w:panose1 w:val="020F0702030404030204"/>
    <w:charset w:characterSet="1"/>
  </w:font>
  <w:font w:name="Calibri (MS)">
    <w:panose1 w:val="020F0502020204030204"/>
    <w:charset w:characterSet="1"/>
  </w:font>
  <w:font w:name="Calibri (MS) Bold Italics">
    <w:panose1 w:val="020F07020304040A0204"/>
    <w:charset w:characterSet="1"/>
  </w:font>
  <w:font w:name="Calibri (MS) Italics">
    <w:panose1 w:val="020F05020202040A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Relationship Id="rId4" Target="https://www.mongodb.com/docs/" TargetMode="External" Type="http://schemas.openxmlformats.org/officeDocument/2006/relationships/hyperlink"/><Relationship Id="rId5" Target="https://owasp.org/www-project-top-ten/" TargetMode="External" Type="http://schemas.openxmlformats.org/officeDocument/2006/relationships/hyperlink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2026-07-03T07:40:52Z</dcterms:created>
  <dc:creator>Apache POI</dc:creator>
  <dc:title>НЕДЕЛЯ 3 ЦЕНТР СЕРТИФИКАЦИИ.docx</dc:title>
</cp:coreProperties>
</file>