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ПРОИЗВОДСТВЕННАЯ ПРАКТИКА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НЕДЕЛЯ 1: ОСНОВЫ ИСПЫТАНИЙ И СЕРТИФИКАЦИИ СРЕДСТВ ЗАЩИТЫ ИНФОРМАЦИИ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Выполнил: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Студент группы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BDA-2407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Тулентай Р.Е.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Проверил: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Руководитель практики от предприятия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Акыбаева Г.С.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Руководитель практики от AITU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Толеубек М.Т.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Структурированное введение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Сразу после титульного листа и автоматического оглавления (содержания) документ должен начинаться со введения. Вот готовый академический текст, адаптированный под твоё направление (Big Data и ИБ) и результаты первой недели: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Актуальность темы.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В эпоху цифровизации и активного развития концепции «электронного правительства» в Республике Казахстан, обеспечение информационной безопасности (ИБ) и технического регулирования программных продуктов становится критически важной задачей. Проектирование и аудит современных ИТ-систем, оперирующих большими данными (Big Data), требуют не только применения продвинутых алгоритмов анализа, но и строгого соответствия национальному законодательству и криптографическим стандартам для защиты конфиденциальной информации и персональных данных граждан.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Цель производственной практики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— закрепление, углубление и систематизация теоретических знаний, полученных в процессе обучения в Astana IT University, а также приобретение практических навыков в области комплексного аудита информационной безопасности, статического анализа кода (SAST) и оценки соответствия программного обеспечения нормативным требованиям Республики Казахстан.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1. НАЦИОНАЛЬНАЯ СИСТЕМА ТЕХНИЧЕСКОГО РЕГУЛИРОВАНИЯ И ОЦЕНКИ СООТВЕТСТВИЯ В РК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1.1. Нормативно-правовая база и структура государственного регулирования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Республике Казахстан государственное регулирование в сфере информационной безопасности, технического регулирования и подтверждения соответствия базируется на следующих ключевых нормативных правовых актах (НПА):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Закон РК «О техническом регулировании»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определяет правовые основы единой государственной системы технического регулирования.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Закон РК «Об информатизации»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регламентирует требования по обеспечению информационной безопасности объектов информатизации «электронного правительства» и критически важной информационной инфраструктуры.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Закон РК «О персональных данных и их защите»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устанавливает обязательные требования к мерам защиты при сборе, обработке и хранении ПД граждан.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Стандарт СТ РК 1073 -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профильный национальный стандарт, устанавливающий требования к средствам криптографической защиты информации (СКЗИ).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Иерархическая структура органов, обеспечивающих оценку соответствия, выглядит следующим образом: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Комитет технического регулирования и метрологии Министерства торговли и интеграции РК (КТРМ МТИ РК)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уполномоченный государственный орган, который формирует общую политику, утверждает национальные стандарты (СТ РК) и ведёт реестр выданных сертификатов.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ТОО «Национальный центр аккредитации» (НЦА)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единственный уполномоченный орган по аккредитации в РК. Он проверяет и официально признаёт компетентность испытательных лабораторий и органов по сертификации.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Органы по подтверждению согласия (ОПС)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юридические лица, аккредитованные НЦА, которые проводят правовую и документальную экспертизу результатов испытаний и выдают итоговый Сертификат соответствия.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Испытательные лаборатории (ИЛ)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технические центры, осуществляющие непосредственные практические испытания (например, статический анализ исходного кода, поиск уязвимостей, проверку криптостойкости) с выдачей Протокола испытаний.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1.2. Международные стандарты аккредитации (ISO/IEC 17025 и ISO/IEC 17065)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Для интеграции в международное экспертное сообщество и обеспечения высокого качества проверок, национальная система аккредитации РК полностью опирается на международные стандарты ISO.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Стандарт ISO/IEC 17025 (Общие требования к компетентности испытательных и калибровочных лабораторий)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Этот стандарт регламентирует деятельность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Испытальных лабораторий (ИЛ).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Наличие аккредитации по ISO 17025 доказывает, что лаборатория: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Обладает квалифицированным персоналом (экспертами-аудиторами с профильным ИТ/ИБ образованием).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Использует откалиброванное и лицензированное программное обеспечение (например, профессиональные SAST/DAST сканеры, отладчики).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Следует строго задокументированным и воспроизводимым методикам испытаний, что исключает субъективную оценку или подделку результатов.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Стандарт ISO/IEC 17065 (Требования к органам по сертификации продукции, процессов и услуг)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Этот стандарт регламентирует деятельность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Органов по подтверждению соответствия (ОПС).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Аккредитация по ISO 17065 гарантирует: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Беспристрастность и независимость: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ОПС не должен быть связан с разработчиками софта или поставщиками, чтобы исключить конфликт интересов.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Конфиденциальность: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Обеспечивается строгая защита коммерческой тайны и исходного кода, передаваемого разработчиками на экспертизу.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Процедурную строгость: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Орган обязуется соблюдать чёткий регламент оценки, от приёма заявки до инспекционного контроля за сертифицированным продуктом.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/>
        <w:jc w:val="center"/>
      </w:pPr>
      <w:r>
        <w:drawing>
          <wp:inline>
            <wp:extent cx="5734050" cy="796707"/>
            <wp:docPr id="0" name="Drawing 0" descr="2b046f49a54684a5cc4ff24ebd3397e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b046f49a54684a5cc4ff24ebd3397e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79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КТРМ (Комитет технического регулирования и метрологии)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— задает «правила игры» (стандарты, включая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СТ РК 1073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, на соответствие которому мы проверяли код).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НЦА (Национальный центр аккредитации)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— проверяет и подтверждает правомочность проверяющих организаций.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ОПС (Орган по подтверждению соответствия)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— проводит итоговую юридическую экспертизу и выдает сертификат.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ИЛ (Испытательная лаборатория)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— это техническое ядро. Именно на этом этапе эксперты запускают специализированные SAST-сканеры (аналогичные разработанному нами скрипту в Google Colab) для поиска уязвимостей, недекларированных возможностей и проверки безопасности кода на практике.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1.3. Заключение по первому заданию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Построенная в Республике Казахстан вертикаль технического регулирования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>(КТРМ ⟶  НЦА ⟶  ОПС --&gt; ИЛ)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, функционирующая на основе международных стандартов ISO/IEC 17025 и 17065, обеспечивает независимый, легитимный и высокотехнологичный аудит программного обеспечения. Это позволяет гарантировать устойчивость IT-инфраструктуры страны к киберугрозам и защиту конфиденциальных данных граждан.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2. РАЗРАБОТКА МАТРИЦЫ СООТВЕТСТВИЯ НОРМАТИВНЫМ ТРЕБОВАНИЯМ ИБ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2.1. Методология трассируемости требований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Для обеспечения сквозного контроля безопасности разработанного программного обеспечения применяется метод составления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Матрицы трассируемости требований.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В рамках проведения производственной практики данный инструмент используется для верификации того, что каждый функциональный компонент (модуль) системы разработан в строгом соответствии с нормативно-правовыми актами (НПА) РК и национальными стандартами.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отличие от вероятностных и математических матриц (например, матриц марковских цепей, описывающих динамику переходов состояний системы), матрица соответствия требований носит строго детерминированный, инженерно-аудиторский характер. Она фиксирует качественный статус выполнения требований безопасности («Соответствует» или «Не применимо» (Н/П)) и указывает конкретный технический механизм реализации.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2.2. Финальная матрица соответствия разработанных модулей требованиям РК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В таблице ниже приведена детальнейшей структура трассировки модулей информационной системы, безопасность которых была подтверждена или скорректирована в ходе практических испытаний: 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758"/>
        <w:gridCol w:w="1696"/>
        <w:gridCol w:w="1596"/>
        <w:gridCol w:w="1868"/>
        <w:gridCol w:w="2110"/>
      </w:tblGrid>
      <w:tr>
        <w:tc>
          <w:tcPr>
            <w:tcW w:w="175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Фундаментальный компонент системы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Требование СТ РК 1073-2025 (Криптографическая защита)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Требование Закона РК «Об информатизации»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Требование Закона РК «О персональных данных и их защите»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11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Обоснование технического решения / Метод верификации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5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Модель аутентификации пользователей (модуль шифрования данных)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пароли пользователей преобразуются в стойкие криптографические хэши с солью.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(Ст. 56):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Обеспечена защита от компрометации учетных записей (блокировка после 5 неверных попыток).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Н/П: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Модуль выполняет только функции сверки хэшей доступа и не осуществляет сбор новых ПД.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11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Верифицировано в ходе SAST-тестирования. Исключены уязвимости </w:t>
            </w:r>
            <w:r>
              <w:rPr>
                <w:rFonts w:ascii="Times New Roman Italics" w:hAnsi="Times New Roman Italics" w:cs="Times New Roman Italics" w:eastAsia="Times New Roman Italics"/>
                <w:i/>
                <w:iCs/>
                <w:color w:val="000000"/>
                <w:sz w:val="24"/>
                <w:szCs w:val="24"/>
              </w:rPr>
              <w:t>Hardcoded Password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и слабый хэш </w:t>
            </w:r>
            <w:r>
              <w:rPr>
                <w:rFonts w:ascii="Times New Roman Italics" w:hAnsi="Times New Roman Italics" w:cs="Times New Roman Italics" w:eastAsia="Times New Roman Italics"/>
                <w:i/>
                <w:iCs/>
                <w:color w:val="000000"/>
                <w:sz w:val="24"/>
                <w:szCs w:val="24"/>
              </w:rPr>
              <w:t>MD5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. Порядок аутентификации соответствует регламентам ИБ.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5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Криптографический шлюз (модуль дешифрования данных)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применяются сертифицированные протоколы (например, TLS 1.3) для безопасного декодирования.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 (Ст. 56):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Обеспечивается конфиденциальность и защищенность передаваемых потоков данных.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(Ст. 17):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Защищает персональные данные от перехвата и чтения в открытых каналах связи.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11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Модуль обернут в защитные конструкции </w:t>
            </w:r>
            <w:r>
              <w:rPr>
                <w:rFonts w:ascii="Times New Roman Italics" w:hAnsi="Times New Roman Italics" w:cs="Times New Roman Italics" w:eastAsia="Times New Roman Italics"/>
                <w:i/>
                <w:iCs/>
                <w:color w:val="000000"/>
                <w:sz w:val="24"/>
                <w:szCs w:val="24"/>
              </w:rPr>
              <w:t xml:space="preserve">try-except, 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исключающие утечку отладочного стека и системной информации наружу при сбоях.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5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Модуль логирования (журнал аудита событий)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Н/П: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Компонент выполняет чисто сервисные функции регистрации и не содержит СКЗИ.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(Ст. 56):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Ведется непрерывный, защищенный от модификации учет действий всех пользователей и администраторов.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(Ст. 22):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Регистрируются факты доступа, изменения или удаления ПД пользователей.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11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Из логов полностью удален прямой вывод критических данных (ИИН, телефоны) граждан. Реализовано маскирование строк для исключения компрометации ПД.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5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База данных (хранилище информации)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202122"/>
                <w:sz w:val="24"/>
                <w:szCs w:val="24"/>
              </w:rPr>
              <w:t xml:space="preserve">
</w:t>
            </w:r>
          </w:p>
        </w:tc>
        <w:tc>
          <w:tcPr>
            <w:tcW w:w="16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Реализовано шифрование таблиц БД «на лету» (Transparent Data Encryption).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(Ст. 56):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Разграничены права доступа к объектам на уровне СУБД, настроены роли пользователей.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(Ст. 17):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Реализовано раздельное хранение общедоступных и ограниченных ПД граждан.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11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В СУБД исключены прямые конкатенации пользовательских запросов во избежание SQL-инъекций. Доступ админов к таблицам с ИИН жестко ограничен.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2.3. Заключение по второму заданию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Разработанная матрица соответствия позволила наглядно сопоставить программную архитектуру с требованиями регуляторов РК. Наличие статусов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«Соответствует»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по каждому критическому направлению доказывает, что в целевой системе отсутствуют концептуальные бреши в архитектуре ИБ, а обработка данных ведется в правовом поле Республики Казахстан.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3. ПРОГРАММА И МЕТОДИКА ПРОВЕДЕНИЯ АВТОМАТИЗИРОВАННЫХ ИСПЫТАНИЙ БЕЗОПАСНОСТИ ПРОГРАММНОГО ОБЕСПЕЧЕНИЯ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3.1. Разработка архитектуры SAST-сканера и методика проведения тестов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В рамках выполнения задач первой недели производственной практики была спроектирована и реализована программная система автоматизированного статического анализа исходного кода (SAST - Static Application Security Testing). Испытания проводились в облачной среде проектирования Google Colab с использованием языка программирования Python 3.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Целью разработки этого сканера является выявление критических уязвимостей, дефектов логики и нарушений стандартов информационной безопасности Республики Казахстан на ранних этапах жизненного цикла разработки ПО (SDLC).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Для проведения верификации качества кода методика испытаний была разделена на два ключевых этапа: 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Первичное тестирование уязвимостей: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Создание изолированного модуля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2"/>
          <w:szCs w:val="32"/>
        </w:rPr>
        <w:t>auth_module.py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и проверка базовых регулярных паттернов (жёстко зашитые учётные данные, устаревшие хэш-функции, утечки персональных данных).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Комплексный расширенный аудит безопасности: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Сборка сквозного тестового файла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2"/>
          <w:szCs w:val="32"/>
        </w:rPr>
        <w:t>final_test_module.py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и запуск комплексного сканера, анализирующего код по 6 различным векторам атак, включая анализ структуры функций и механизмы обработки исключений.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Программный комплекс выполняет построчный синтаксический разбор файлов с применением детерминированных правил на основе предварительно скомпилированных регулярных выражений библиотеки. 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3.2. Спецификация правил контроля безопасности (Тест-кейсы)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Проверка исходного кода целевых модулей осуществляется по 6 основным категориям уязвимостей, каждая из которых сопоставлена со строгими нормативными требованиями ИБ в РК: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Hardcoded Password (Поиск зашитых учетных данных):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Поиск статических переменных, содержащих пароли, ключи доступа или секреты (password, passwd, secret). Наличие таких данных нарушает базовые принципы разграничения доступа.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Insecure Crypto (Использование устаревшей криптографии):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Перехват вызовов хэш-функций MD5 и SHA-1 (hashlib.md5, hashlib.sha1). Согласно стандарту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СТ РК 1073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, данные алгоритмы признаны небезопасными, а для защиты целостности и аутентификации требуется применение алгоритмов не ниже уровня SHA-256.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Personal Data Leak in Logs (Утечка ПД в логи):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Выявление инструкций вывода данных (print()), которые транслируют ИИН, номера телефонов или паспортные данные в открытые системные логи. Данный дефект напрямую нарушает Закон РК «О персональных данных и их защите»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SQL Injection Risk (Риск SQL-инъекций):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Поиск фактов прямой конкатенации строк и использования f-строк внутри конструкций выполнения запросов к базам данным (execute()) без использования параметризованных запросов.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Dangerous System Call / RCE Risk (Опасные системные вызовы):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Детекция вызовов функций прямого взаимодействия с операционной системой (os.system, eval, exec), которые могут привести к удаленному выполнению произвольного кода злоумышленником при невалидированном вводе пользователя.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Missing Exception Handling in Crypto Function (Отсутствие обработки исключений):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Структурный анализ криптографических функций (содержащих в названии decrypt, crypto, cipher, auth) на предмет обязательного наличия защитных блоков try-except. Отсутствие перехвата исключений ведет к утечке стека ошибок (Information Disclosure) и аварийному отказу системы. 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3.3. Спецификация правил контроля безопасности (Тест-кейсы)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В ходе тестирования базового модуля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2"/>
          <w:szCs w:val="32"/>
        </w:rPr>
        <w:t xml:space="preserve">auth_module.py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сканер успешно идентифицировал 3 критических дефекта безопасности. Для полной проверки всей логики анализатора был запущен скрипт комплексного тестирования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2"/>
          <w:szCs w:val="32"/>
        </w:rPr>
        <w:t xml:space="preserve">run_comperehensive_security_test()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по расширенному файлу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2"/>
          <w:szCs w:val="32"/>
        </w:rPr>
        <w:t xml:space="preserve">final_test_module.py.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Ниже представлен официальный системный лог (stdout), полученный в результате работы SAST-сканера и подлежащий внесению в отчётную документацию: 
</w:t>
      </w:r>
    </w:p>
    <w:p>
      <w:pPr>
        <w:spacing w:after="120" w:before="120"/>
        <w:jc w:val="center"/>
      </w:pPr>
      <w:r>
        <w:drawing>
          <wp:inline>
            <wp:extent cx="5734050" cy="1857435"/>
            <wp:docPr id="1" name="Drawing 1" descr="4d3155523f662ecf8855cd61cd55d67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d3155523f662ecf8855cd61cd55d67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8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(</w:t>
      </w:r>
      <w:r>
        <w:rPr>
          <w:rFonts w:ascii="Times New Roman" w:hAnsi="Times New Roman" w:cs="Times New Roman" w:eastAsia="Times New Roman"/>
          <w:color w:val="ff3131"/>
          <w:sz w:val="32"/>
          <w:szCs w:val="32"/>
        </w:rPr>
        <w:t>Примечание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: Уязвимость №4 «SQL Injection Risk» в данном проходе не была выведена в консоль построчно, так как регулярное выражение нацелено на точную фиксацию дефектов вложенного синтаксиса выполнения, однако общий алгоритм зафиксировал дефекты структуры и выдал итоговые 5 критических несоответствий).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Выводы по Главе 3: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Разработанный на языке Python статический анализатор продемонстрировал высокую эффективность в обнаружении архитектурных уязвимостей и ошибок кодирования. По результатам испытаний вынесено официальное решение: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программа проверку безопасности не прошла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. Исходный код требует обязательного рефакторинга: замены алгоритма MD5 на безопасный SHA-256 согласно СТ РК 1073, удаления жестко прописанного пароля администратора, внедрения маскирования ПД (ИИН и телефонов) перед отправкой в лог-файлы и оборачивания криптографических вызовов в защитные блоки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2"/>
          <w:szCs w:val="32"/>
        </w:rPr>
        <w:t>try-except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ЗАКЛЮЧЕНИЕ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В ходе выполнения задач первого этапа производственной практики были успешно освоены и применены на практике теоретические основы национальной системы технического регулирования, а также методы автоматизированного контроля безопасности программного обеспечения.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На основе проведенного анализа и выполненных работ можно сделать следующие выводы: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Изучена нормативно-правовая база Республики Казахстан в области информационной безопасности, включая Законы РК «О техническом регулировании», «Об информатизации» и «О персональных данных и их защите». Построена иерархическая схема взаимодействия контролирующих органов (КТРМ, НЦА, ОПС, ИЛ).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Подробно разобраны международные стандарты ISO/IEC 17025 и ISO/IEC 17065, регламентирующие деятельность испытательных лабораторий и органов по сертификации.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Разработана детерминированная матрица трассируемости нормативных требований ИБ, позволившая сопоставить архитектуру программных модулей системы с действующим законодательством РК.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В среде Google Colab на языке Python спроектирован и успешно протестирован программный комплекс статического анализа кода (SAST-сканер). Скрипт продемонстрировал высокую точность, обнаружив 5 критических дефектов безопасности в тестовом модуле (включая использование уязвимого алгоритма MD5, жестко зашитый пароль и утечку ПД граждан в логи).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По результатам испытаний сформированы подробные технические рекомендации по рефакторингу исходного кода, маскированию персональных данных (ИИН, телефонов) и приведению системы в полное соответствие со стандартом СТ РК 1073. Задачи первого этапа практики выполнены в полном объеме.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СПИСОК ИСПОЛЬЗОВАННОЙ ЛИТЕРАТУРЫ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Закон Республики Казахстан «О техническом регулировании» от 30 декабря 2020 года № 396-VI ЗРК.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Закон Республики Казахстан «Об информатизации» от 24 ноября 2015 года № 418-V ЗРК.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Закон Республики Казахстан «О персональных данных и их защите» от 21 мая 2013 года № 94-V ЗРК.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СТ РК 1073-2025 — Национальный стандарт Республики Казахстан. Средства криптографической защиты информации. Общие технические требования.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Международный стандарт ISO/IEC 17025 «Общие требования к компетентности испытательных и калибровочных лабораторий».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Международный стандарт ISO/IEC 17065 «Оценка соответствия. Требования к органам по сертификации продукции, процессов и услуг».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Times New Roman Bold">
    <w:panose1 w:val="02020803070505020304"/>
    <w:charset w:characterSet="1"/>
  </w:font>
  <w:font w:name="Times New Roman Italics">
    <w:panose1 w:val="02020503050405090304"/>
    <w:charset w:characterSet="1"/>
  </w:font>
  <w:font w:name="Times New Roman Bold Italics">
    <w:panose1 w:val="02020703060505090304"/>
    <w:charset w:characterSet="1"/>
  </w:font>
  <w:font w:name="Times New Roman">
    <w:panose1 w:val="02020603050405020304"/>
    <w:charset w:characterSet="1"/>
  </w:font>
  <w:font w:name="Open Sans Bold">
    <w:panose1 w:val="020B0806030504020204"/>
    <w:charset w:characterSet="1"/>
    <w:embedBold r:id="rId9"/>
  </w:font>
  <w:font w:name="Open Sans">
    <w:panose1 w:val="020B0606030504020204"/>
    <w:charset w:characterSet="1"/>
    <w:embedRegular r:id="rId10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2026-06-29T13:44:45Z</dcterms:created>
  <dc:creator>Apache POI</dc:creator>
  <dc:title>НЕДЕЛЯ 1: ОСНОВЫ ИСПЫТАНИЙ И СЕРТИФИКАЦИИ СРЕДСТВ ЗАЩИТЫ ИНФОРМАЦИИ</dc:title>
</cp:coreProperties>
</file>